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B1" w:rsidRDefault="003C15B1" w:rsidP="003C15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5B1" w:rsidRDefault="003C15B1" w:rsidP="003C15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1260.130  Fees</w:t>
      </w:r>
      <w:r>
        <w:t xml:space="preserve"> </w:t>
      </w:r>
    </w:p>
    <w:p w:rsidR="003C15B1" w:rsidRDefault="003C15B1" w:rsidP="003C15B1">
      <w:pPr>
        <w:widowControl w:val="0"/>
        <w:autoSpaceDE w:val="0"/>
        <w:autoSpaceDN w:val="0"/>
        <w:adjustRightInd w:val="0"/>
      </w:pPr>
    </w:p>
    <w:p w:rsidR="003C15B1" w:rsidRDefault="003C15B1" w:rsidP="003C15B1">
      <w:pPr>
        <w:widowControl w:val="0"/>
        <w:autoSpaceDE w:val="0"/>
        <w:autoSpaceDN w:val="0"/>
        <w:adjustRightInd w:val="0"/>
      </w:pPr>
      <w:r>
        <w:t xml:space="preserve">The following non-refundable fees shall be paid to the </w:t>
      </w:r>
      <w:r w:rsidR="00647613">
        <w:t>Department of Financial and Professional Regulation (Department)</w:t>
      </w:r>
      <w:r>
        <w:t xml:space="preserve"> for the functions performed by the </w:t>
      </w:r>
      <w:r w:rsidR="00647613">
        <w:t>Department</w:t>
      </w:r>
      <w:r>
        <w:t xml:space="preserve"> under the Act. </w:t>
      </w:r>
    </w:p>
    <w:p w:rsidR="00BF69A6" w:rsidRDefault="00BF69A6" w:rsidP="003C15B1">
      <w:pPr>
        <w:widowControl w:val="0"/>
        <w:autoSpaceDE w:val="0"/>
        <w:autoSpaceDN w:val="0"/>
        <w:adjustRightInd w:val="0"/>
      </w:pPr>
    </w:p>
    <w:tbl>
      <w:tblPr>
        <w:tblW w:w="0" w:type="auto"/>
        <w:tblInd w:w="678" w:type="dxa"/>
        <w:tblLook w:val="0000" w:firstRow="0" w:lastRow="0" w:firstColumn="0" w:lastColumn="0" w:noHBand="0" w:noVBand="0"/>
      </w:tblPr>
      <w:tblGrid>
        <w:gridCol w:w="7683"/>
        <w:gridCol w:w="1215"/>
      </w:tblGrid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3C15B1">
            <w:pPr>
              <w:widowControl w:val="0"/>
              <w:autoSpaceDE w:val="0"/>
              <w:autoSpaceDN w:val="0"/>
              <w:adjustRightInd w:val="0"/>
            </w:pPr>
            <w:r>
              <w:t xml:space="preserve">Initial Registration Fees: </w:t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BF69A6">
            <w:pPr>
              <w:widowControl w:val="0"/>
              <w:tabs>
                <w:tab w:val="right" w:leader="dot" w:pos="7557"/>
              </w:tabs>
              <w:autoSpaceDE w:val="0"/>
              <w:autoSpaceDN w:val="0"/>
              <w:adjustRightInd w:val="0"/>
              <w:ind w:left="348"/>
            </w:pPr>
            <w:r>
              <w:t>–  Initial registration of subdivision</w:t>
            </w:r>
            <w:r>
              <w:tab/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$1,500</w:t>
            </w: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3C15B1">
            <w:pPr>
              <w:widowControl w:val="0"/>
              <w:autoSpaceDE w:val="0"/>
              <w:autoSpaceDN w:val="0"/>
              <w:adjustRightInd w:val="0"/>
            </w:pPr>
            <w:r>
              <w:t>Amendment Fees:</w:t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</w:p>
        </w:tc>
      </w:tr>
      <w:tr w:rsidR="00BF69A6" w:rsidTr="00F40578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F40578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582" w:hanging="234"/>
            </w:pPr>
            <w:r>
              <w:t xml:space="preserve">–  </w:t>
            </w:r>
            <w:r w:rsidR="00647613">
              <w:t>Adding lots of other contiguous property</w:t>
            </w:r>
            <w:r>
              <w:t xml:space="preserve"> to an existing registration</w:t>
            </w:r>
            <w:r>
              <w:tab/>
            </w:r>
          </w:p>
        </w:tc>
        <w:tc>
          <w:tcPr>
            <w:tcW w:w="1215" w:type="dxa"/>
            <w:vAlign w:val="bottom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$750</w:t>
            </w: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BF69A6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348"/>
            </w:pPr>
            <w:r>
              <w:t>–  Any other amendment to an existing registration</w:t>
            </w:r>
            <w:r>
              <w:tab/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$150</w:t>
            </w: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647613" w:rsidP="003C15B1">
            <w:pPr>
              <w:widowControl w:val="0"/>
              <w:autoSpaceDE w:val="0"/>
              <w:autoSpaceDN w:val="0"/>
              <w:adjustRightInd w:val="0"/>
            </w:pPr>
            <w:r>
              <w:t xml:space="preserve">Annual </w:t>
            </w:r>
            <w:r w:rsidR="00BF69A6">
              <w:t>Renewal Fees:</w:t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BF69A6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348"/>
            </w:pPr>
            <w:r>
              <w:t>–  Renewal of subdivision registration</w:t>
            </w:r>
            <w:r>
              <w:tab/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$750</w:t>
            </w: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3C15B1">
            <w:pPr>
              <w:widowControl w:val="0"/>
              <w:autoSpaceDE w:val="0"/>
              <w:autoSpaceDN w:val="0"/>
              <w:adjustRightInd w:val="0"/>
            </w:pPr>
            <w:r>
              <w:t>Miscellaneous Fees:</w:t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BF69A6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348"/>
            </w:pPr>
            <w:r>
              <w:t>–  Application for exemption</w:t>
            </w:r>
            <w:r>
              <w:tab/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$250</w:t>
            </w:r>
          </w:p>
        </w:tc>
      </w:tr>
      <w:tr w:rsidR="00BF69A6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BF69A6" w:rsidRDefault="00BF69A6" w:rsidP="00BF69A6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348"/>
            </w:pPr>
            <w:r>
              <w:t>–  Roster of persons registered under this Act</w:t>
            </w:r>
            <w:r>
              <w:tab/>
            </w:r>
          </w:p>
        </w:tc>
        <w:tc>
          <w:tcPr>
            <w:tcW w:w="1215" w:type="dxa"/>
          </w:tcPr>
          <w:p w:rsidR="00BF69A6" w:rsidRDefault="00BF69A6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$10</w:t>
            </w:r>
          </w:p>
        </w:tc>
      </w:tr>
      <w:tr w:rsidR="00647613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647613" w:rsidRDefault="00F40578" w:rsidP="00F40578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348"/>
            </w:pPr>
            <w:r>
              <w:t>−</w:t>
            </w:r>
            <w:r w:rsidR="00647613">
              <w:t xml:space="preserve">  Late Renewal</w:t>
            </w:r>
            <w:r>
              <w:tab/>
            </w:r>
          </w:p>
        </w:tc>
        <w:tc>
          <w:tcPr>
            <w:tcW w:w="1215" w:type="dxa"/>
          </w:tcPr>
          <w:p w:rsidR="00647613" w:rsidRDefault="00F40578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</w:t>
            </w:r>
            <w:r w:rsidR="00647613">
              <w:t>50</w:t>
            </w:r>
          </w:p>
        </w:tc>
      </w:tr>
      <w:tr w:rsidR="00647613">
        <w:tblPrEx>
          <w:tblCellMar>
            <w:top w:w="0" w:type="dxa"/>
            <w:bottom w:w="0" w:type="dxa"/>
          </w:tblCellMar>
        </w:tblPrEx>
        <w:tc>
          <w:tcPr>
            <w:tcW w:w="7683" w:type="dxa"/>
          </w:tcPr>
          <w:p w:rsidR="00647613" w:rsidRDefault="00F40578" w:rsidP="00BF69A6">
            <w:pPr>
              <w:widowControl w:val="0"/>
              <w:tabs>
                <w:tab w:val="right" w:leader="dot" w:pos="7539"/>
              </w:tabs>
              <w:autoSpaceDE w:val="0"/>
              <w:autoSpaceDN w:val="0"/>
              <w:adjustRightInd w:val="0"/>
              <w:ind w:left="348"/>
            </w:pPr>
            <w:r>
              <w:t xml:space="preserve">− </w:t>
            </w:r>
            <w:r w:rsidR="00647613">
              <w:t xml:space="preserve"> Application for restoration of registration</w:t>
            </w:r>
            <w:r>
              <w:tab/>
            </w:r>
          </w:p>
        </w:tc>
        <w:tc>
          <w:tcPr>
            <w:tcW w:w="1215" w:type="dxa"/>
          </w:tcPr>
          <w:p w:rsidR="00647613" w:rsidRDefault="00F40578" w:rsidP="00BF69A6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$</w:t>
            </w:r>
            <w:r w:rsidR="00647613">
              <w:t>250</w:t>
            </w:r>
          </w:p>
        </w:tc>
      </w:tr>
    </w:tbl>
    <w:p w:rsidR="003C15B1" w:rsidRDefault="003C15B1" w:rsidP="00BF69A6">
      <w:pPr>
        <w:widowControl w:val="0"/>
        <w:tabs>
          <w:tab w:val="left" w:leader="dot" w:pos="0"/>
          <w:tab w:val="left" w:leader="dot" w:pos="8607"/>
          <w:tab w:val="left" w:pos="10830"/>
        </w:tabs>
        <w:autoSpaceDE w:val="0"/>
        <w:autoSpaceDN w:val="0"/>
        <w:adjustRightInd w:val="0"/>
        <w:ind w:left="1593" w:hanging="909"/>
      </w:pPr>
    </w:p>
    <w:p w:rsidR="00647613" w:rsidRPr="00D55B37" w:rsidRDefault="006476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368B8">
        <w:t>11407</w:t>
      </w:r>
      <w:r w:rsidRPr="00D55B37">
        <w:t xml:space="preserve">, effective </w:t>
      </w:r>
      <w:r w:rsidR="006368B8">
        <w:t>June 28, 2011</w:t>
      </w:r>
      <w:r w:rsidRPr="00D55B37">
        <w:t>)</w:t>
      </w:r>
    </w:p>
    <w:sectPr w:rsidR="00647613" w:rsidRPr="00D55B37" w:rsidSect="003C15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5B1"/>
    <w:rsid w:val="00060DBE"/>
    <w:rsid w:val="00376889"/>
    <w:rsid w:val="003C15B1"/>
    <w:rsid w:val="005C3366"/>
    <w:rsid w:val="0062078E"/>
    <w:rsid w:val="006368B8"/>
    <w:rsid w:val="00647613"/>
    <w:rsid w:val="00800A8B"/>
    <w:rsid w:val="00BF69A6"/>
    <w:rsid w:val="00DB6159"/>
    <w:rsid w:val="00E61542"/>
    <w:rsid w:val="00F07F48"/>
    <w:rsid w:val="00F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7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