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A0" w:rsidRDefault="005823A0" w:rsidP="00582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3A0" w:rsidRDefault="005823A0" w:rsidP="005823A0">
      <w:pPr>
        <w:widowControl w:val="0"/>
        <w:autoSpaceDE w:val="0"/>
        <w:autoSpaceDN w:val="0"/>
        <w:adjustRightInd w:val="0"/>
        <w:jc w:val="center"/>
      </w:pPr>
      <w:r>
        <w:t>SUBPART C:  COMPETENCE AND TECHNICAL STANDARDS</w:t>
      </w:r>
    </w:p>
    <w:sectPr w:rsidR="005823A0" w:rsidSect="00582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3A0"/>
    <w:rsid w:val="00375752"/>
    <w:rsid w:val="004B3D59"/>
    <w:rsid w:val="005823A0"/>
    <w:rsid w:val="005C3366"/>
    <w:rsid w:val="008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COMPETENCE AND TECHNICAL STANDARDS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COMPETENCE AND TECHNICAL STANDARDS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