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DC" w:rsidRDefault="00C76CDC" w:rsidP="00C76C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CDC" w:rsidRDefault="00C76CDC" w:rsidP="00C76C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100.210  Disqualification of </w:t>
      </w:r>
      <w:r w:rsidR="00123D70">
        <w:rPr>
          <w:b/>
          <w:bCs/>
        </w:rPr>
        <w:t>Administrative Law Judge</w:t>
      </w:r>
      <w:r>
        <w:t xml:space="preserve"> </w:t>
      </w:r>
    </w:p>
    <w:p w:rsidR="00C76CDC" w:rsidRDefault="00C76CDC" w:rsidP="00C76CDC">
      <w:pPr>
        <w:widowControl w:val="0"/>
        <w:autoSpaceDE w:val="0"/>
        <w:autoSpaceDN w:val="0"/>
        <w:adjustRightInd w:val="0"/>
      </w:pPr>
    </w:p>
    <w:p w:rsidR="00C76CDC" w:rsidRDefault="00C76CDC" w:rsidP="00C76CDC">
      <w:pPr>
        <w:widowControl w:val="0"/>
        <w:autoSpaceDE w:val="0"/>
        <w:autoSpaceDN w:val="0"/>
        <w:adjustRightInd w:val="0"/>
      </w:pPr>
      <w:r>
        <w:t>Any party may file a petition, with an affidavit alleging personal bias or</w:t>
      </w:r>
      <w:r w:rsidR="0025484B">
        <w:t xml:space="preserve"> conflict of interest</w:t>
      </w:r>
      <w:r>
        <w:t xml:space="preserve"> of the </w:t>
      </w:r>
      <w:r w:rsidR="00123D70">
        <w:t>ALJ</w:t>
      </w:r>
      <w:r>
        <w:t xml:space="preserve">, with the Executive Director.  The Executive Director may request additional evidence from any party or the </w:t>
      </w:r>
      <w:r w:rsidR="00123D70">
        <w:t>ALJ</w:t>
      </w:r>
      <w:r>
        <w:t xml:space="preserve">.  The Executive Director shall disqualify the </w:t>
      </w:r>
      <w:r w:rsidR="00123D70">
        <w:t>ALJ</w:t>
      </w:r>
      <w:r>
        <w:t xml:space="preserve"> only upon presentation of sufficient credible evidence that it is more likely than not the allegations are true.  Rulings by the </w:t>
      </w:r>
      <w:r w:rsidR="00123D70">
        <w:t>ALJ</w:t>
      </w:r>
      <w:r>
        <w:t xml:space="preserve"> against the complainant shall not in themselves constitute sufficient evidence.  Within 10 days after disqualification, a new </w:t>
      </w:r>
      <w:r w:rsidR="00123D70">
        <w:t>ALJ</w:t>
      </w:r>
      <w:r>
        <w:t xml:space="preserve"> shall be appointed. </w:t>
      </w:r>
    </w:p>
    <w:p w:rsidR="00123D70" w:rsidRDefault="00123D70" w:rsidP="00C76CDC">
      <w:pPr>
        <w:widowControl w:val="0"/>
        <w:autoSpaceDE w:val="0"/>
        <w:autoSpaceDN w:val="0"/>
        <w:adjustRightInd w:val="0"/>
      </w:pPr>
    </w:p>
    <w:p w:rsidR="00123D70" w:rsidRPr="00D55B37" w:rsidRDefault="00123D7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757FE5">
        <w:t>9</w:t>
      </w:r>
      <w:r>
        <w:t xml:space="preserve"> I</w:t>
      </w:r>
      <w:r w:rsidRPr="00D55B37">
        <w:t xml:space="preserve">ll. Reg. </w:t>
      </w:r>
      <w:r w:rsidR="003F45E0">
        <w:t>765</w:t>
      </w:r>
      <w:r w:rsidRPr="00D55B37">
        <w:t xml:space="preserve">, effective </w:t>
      </w:r>
      <w:r w:rsidR="003F45E0">
        <w:t>January 1, 2005</w:t>
      </w:r>
      <w:r w:rsidRPr="00D55B37">
        <w:t>)</w:t>
      </w:r>
    </w:p>
    <w:sectPr w:rsidR="00123D70" w:rsidRPr="00D55B37" w:rsidSect="00C76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CDC"/>
    <w:rsid w:val="00123D70"/>
    <w:rsid w:val="0025484B"/>
    <w:rsid w:val="003E4DFB"/>
    <w:rsid w:val="003F45E0"/>
    <w:rsid w:val="004A33CA"/>
    <w:rsid w:val="005C3366"/>
    <w:rsid w:val="00757FE5"/>
    <w:rsid w:val="009D6533"/>
    <w:rsid w:val="00AD438B"/>
    <w:rsid w:val="00B20BEE"/>
    <w:rsid w:val="00C7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3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