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0C5" w:rsidRDefault="00FD10C5" w:rsidP="00FD10C5">
      <w:pPr>
        <w:widowControl w:val="0"/>
        <w:autoSpaceDE w:val="0"/>
        <w:autoSpaceDN w:val="0"/>
        <w:adjustRightInd w:val="0"/>
      </w:pPr>
      <w:bookmarkStart w:id="0" w:name="_GoBack"/>
      <w:bookmarkEnd w:id="0"/>
    </w:p>
    <w:p w:rsidR="00FD10C5" w:rsidRDefault="00FD10C5" w:rsidP="00FD10C5">
      <w:pPr>
        <w:widowControl w:val="0"/>
        <w:autoSpaceDE w:val="0"/>
        <w:autoSpaceDN w:val="0"/>
        <w:adjustRightInd w:val="0"/>
      </w:pPr>
      <w:r>
        <w:rPr>
          <w:b/>
          <w:bCs/>
        </w:rPr>
        <w:t>Section 400.150  Local Standards</w:t>
      </w:r>
      <w:r>
        <w:t xml:space="preserve"> </w:t>
      </w:r>
    </w:p>
    <w:p w:rsidR="00FD10C5" w:rsidRDefault="00FD10C5" w:rsidP="00FD10C5">
      <w:pPr>
        <w:widowControl w:val="0"/>
        <w:autoSpaceDE w:val="0"/>
        <w:autoSpaceDN w:val="0"/>
        <w:adjustRightInd w:val="0"/>
      </w:pPr>
    </w:p>
    <w:p w:rsidR="00FD10C5" w:rsidRDefault="00FD10C5" w:rsidP="00FD10C5">
      <w:pPr>
        <w:widowControl w:val="0"/>
        <w:autoSpaceDE w:val="0"/>
        <w:autoSpaceDN w:val="0"/>
        <w:adjustRightInd w:val="0"/>
      </w:pPr>
      <w:r>
        <w:rPr>
          <w:i/>
          <w:iCs/>
        </w:rPr>
        <w:t>The provisions of the EBA and this Code constitute minimum requirements for all governmental units, including home rule units.  Any governmental unit may prescribe more stringent requirements to increase and facilitate access to the built environment by environmentally limited persons</w:t>
      </w:r>
      <w:r>
        <w:t xml:space="preserve"> (Section 8, EBA). </w:t>
      </w:r>
    </w:p>
    <w:sectPr w:rsidR="00FD10C5" w:rsidSect="00FD10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10C5"/>
    <w:rsid w:val="002A01FF"/>
    <w:rsid w:val="00321680"/>
    <w:rsid w:val="003B3145"/>
    <w:rsid w:val="005C3366"/>
    <w:rsid w:val="00FD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