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C1" w:rsidRPr="00B138C1" w:rsidRDefault="00B138C1" w:rsidP="00B138C1">
      <w:bookmarkStart w:id="0" w:name="_GoBack"/>
      <w:bookmarkEnd w:id="0"/>
    </w:p>
    <w:p w:rsidR="00B138C1" w:rsidRPr="00B138C1" w:rsidRDefault="00B138C1" w:rsidP="00B138C1">
      <w:pPr>
        <w:rPr>
          <w:b/>
        </w:rPr>
      </w:pPr>
      <w:r w:rsidRPr="00B138C1">
        <w:rPr>
          <w:b/>
        </w:rPr>
        <w:t>Section 250.245  Failure to Initiate Criminal Background Checks</w:t>
      </w:r>
    </w:p>
    <w:p w:rsidR="00B138C1" w:rsidRDefault="00B138C1" w:rsidP="00B138C1"/>
    <w:p w:rsidR="00B138C1" w:rsidRPr="00090FFC" w:rsidRDefault="00B138C1" w:rsidP="00B138C1">
      <w:r>
        <w:rPr>
          <w:i/>
        </w:rPr>
        <w:t xml:space="preserve">The Department may impose fines on hospitals, not to exceed $500 per occurrence, for failing to initiate a criminal background check on a patient that meets the criteria for hospital-initiated background checks.  In assessing whether to impose such a fine, the Department shall consider various factors including, but not limited to, whether the hospital has engaged in a pattern or practice of failing to initiate criminal background checks.  Money from fines </w:t>
      </w:r>
      <w:r w:rsidRPr="003F3515">
        <w:t>will</w:t>
      </w:r>
      <w:r>
        <w:rPr>
          <w:i/>
        </w:rPr>
        <w:t xml:space="preserve"> be deposited into the Long Term Care Provider Fund.</w:t>
      </w:r>
      <w:r>
        <w:t xml:space="preserve"> (Section 7(a) of the Act)</w:t>
      </w:r>
    </w:p>
    <w:p w:rsidR="00B138C1" w:rsidRDefault="00B138C1" w:rsidP="00B138C1">
      <w:pPr>
        <w:pStyle w:val="JCARSourceNote"/>
        <w:rPr>
          <w:u w:val="single"/>
        </w:rPr>
      </w:pPr>
    </w:p>
    <w:p w:rsidR="00B138C1" w:rsidRPr="00D55B37" w:rsidRDefault="00B138C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0027A7">
        <w:t>13875</w:t>
      </w:r>
      <w:r w:rsidRPr="00D55B37">
        <w:t xml:space="preserve">, effective </w:t>
      </w:r>
      <w:r w:rsidR="000027A7">
        <w:t>August 1, 2011</w:t>
      </w:r>
      <w:r w:rsidRPr="00D55B37">
        <w:t>)</w:t>
      </w:r>
    </w:p>
    <w:sectPr w:rsidR="00B138C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E6" w:rsidRDefault="00F956E6">
      <w:r>
        <w:separator/>
      </w:r>
    </w:p>
  </w:endnote>
  <w:endnote w:type="continuationSeparator" w:id="0">
    <w:p w:rsidR="00F956E6" w:rsidRDefault="00F9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E6" w:rsidRDefault="00F956E6">
      <w:r>
        <w:separator/>
      </w:r>
    </w:p>
  </w:footnote>
  <w:footnote w:type="continuationSeparator" w:id="0">
    <w:p w:rsidR="00F956E6" w:rsidRDefault="00F9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B50"/>
    <w:rsid w:val="00001F1D"/>
    <w:rsid w:val="000027A7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B5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4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EB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C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FFA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611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6E6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