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3B" w:rsidRDefault="000F253B" w:rsidP="000F2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53B" w:rsidRDefault="000F253B" w:rsidP="000F253B">
      <w:pPr>
        <w:widowControl w:val="0"/>
        <w:autoSpaceDE w:val="0"/>
        <w:autoSpaceDN w:val="0"/>
        <w:adjustRightInd w:val="0"/>
        <w:jc w:val="center"/>
      </w:pPr>
      <w:r>
        <w:t>SUBPART J:  SURGICAL AND RECOVERY ROOM SERVICES</w:t>
      </w:r>
    </w:p>
    <w:sectPr w:rsidR="000F253B" w:rsidSect="000F253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53B"/>
    <w:rsid w:val="000F253B"/>
    <w:rsid w:val="002B5F39"/>
    <w:rsid w:val="00DD69FF"/>
    <w:rsid w:val="00E36363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SURGICAL AND RECOVERY ROOM SERVICES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SURGICAL AND RECOVERY ROOM SERVICES</dc:title>
  <dc:subject/>
  <dc:creator>MessingerRR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