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57AE" w14:textId="77777777" w:rsidR="00DD7F59" w:rsidRDefault="00DD7F59" w:rsidP="00DD7F59">
      <w:pPr>
        <w:widowControl w:val="0"/>
        <w:autoSpaceDE w:val="0"/>
        <w:autoSpaceDN w:val="0"/>
        <w:adjustRightInd w:val="0"/>
      </w:pPr>
    </w:p>
    <w:p w14:paraId="5691643C" w14:textId="77777777" w:rsidR="00DD7F59" w:rsidRDefault="00DD7F59" w:rsidP="00DD7F59">
      <w:pPr>
        <w:widowControl w:val="0"/>
        <w:autoSpaceDE w:val="0"/>
        <w:autoSpaceDN w:val="0"/>
        <w:adjustRightInd w:val="0"/>
      </w:pPr>
      <w:r>
        <w:rPr>
          <w:b/>
          <w:bCs/>
        </w:rPr>
        <w:t>Section 250.1520  Reports</w:t>
      </w:r>
      <w:r>
        <w:t xml:space="preserve"> </w:t>
      </w:r>
    </w:p>
    <w:p w14:paraId="22BF2A37" w14:textId="77777777" w:rsidR="00DD7F59" w:rsidRDefault="00DD7F59" w:rsidP="00DD7F59">
      <w:pPr>
        <w:widowControl w:val="0"/>
        <w:autoSpaceDE w:val="0"/>
        <w:autoSpaceDN w:val="0"/>
        <w:adjustRightInd w:val="0"/>
      </w:pPr>
    </w:p>
    <w:p w14:paraId="1AC34059" w14:textId="7B637BCA" w:rsidR="00DD7F59" w:rsidRDefault="00DD7F59" w:rsidP="00DD7F59">
      <w:pPr>
        <w:widowControl w:val="0"/>
        <w:autoSpaceDE w:val="0"/>
        <w:autoSpaceDN w:val="0"/>
        <w:adjustRightInd w:val="0"/>
        <w:ind w:left="1440" w:hanging="720"/>
      </w:pPr>
      <w:r>
        <w:t>a)</w:t>
      </w:r>
      <w:r>
        <w:tab/>
        <w:t xml:space="preserve">Each hospital shall submit reports containing </w:t>
      </w:r>
      <w:r w:rsidR="00BE5CC9">
        <w:t xml:space="preserve">such </w:t>
      </w:r>
      <w:r>
        <w:t>pertinent data as may reasonably be required by the Department</w:t>
      </w:r>
      <w:r w:rsidR="00D943CD">
        <w:t xml:space="preserve"> to fulfill its responsibilities under the Act and this Part</w:t>
      </w:r>
      <w:r>
        <w:t xml:space="preserve">. </w:t>
      </w:r>
    </w:p>
    <w:p w14:paraId="4F884AEE" w14:textId="77777777" w:rsidR="00DD7F59" w:rsidRDefault="00DD7F59" w:rsidP="00DD1A89">
      <w:pPr>
        <w:widowControl w:val="0"/>
        <w:autoSpaceDE w:val="0"/>
        <w:autoSpaceDN w:val="0"/>
        <w:adjustRightInd w:val="0"/>
      </w:pPr>
    </w:p>
    <w:p w14:paraId="3AAF79EF" w14:textId="77777777" w:rsidR="00DD7F59" w:rsidRDefault="00DD7F59" w:rsidP="00DD7F59">
      <w:pPr>
        <w:widowControl w:val="0"/>
        <w:autoSpaceDE w:val="0"/>
        <w:autoSpaceDN w:val="0"/>
        <w:adjustRightInd w:val="0"/>
        <w:ind w:left="1440" w:hanging="720"/>
      </w:pPr>
      <w:r>
        <w:t>b)</w:t>
      </w:r>
      <w:r>
        <w:tab/>
        <w:t>In the reporting of communicable disease cases</w:t>
      </w:r>
      <w:r w:rsidR="00773953">
        <w:t>,</w:t>
      </w:r>
      <w:r>
        <w:t xml:space="preserve"> the hospital shall comply with the Control of Communicable Diseases Code. </w:t>
      </w:r>
    </w:p>
    <w:p w14:paraId="78E587C2" w14:textId="77777777" w:rsidR="00DD7F59" w:rsidRDefault="00DD7F59" w:rsidP="00DD1A89">
      <w:pPr>
        <w:widowControl w:val="0"/>
        <w:autoSpaceDE w:val="0"/>
        <w:autoSpaceDN w:val="0"/>
        <w:adjustRightInd w:val="0"/>
      </w:pPr>
    </w:p>
    <w:p w14:paraId="189617B0" w14:textId="4D4C274D" w:rsidR="00DD7F59" w:rsidRDefault="00DD7F59" w:rsidP="00DD7F59">
      <w:pPr>
        <w:widowControl w:val="0"/>
        <w:autoSpaceDE w:val="0"/>
        <w:autoSpaceDN w:val="0"/>
        <w:adjustRightInd w:val="0"/>
        <w:ind w:left="1440" w:hanging="720"/>
      </w:pPr>
      <w:r>
        <w:t>c)</w:t>
      </w:r>
      <w:r>
        <w:tab/>
        <w:t xml:space="preserve">See Sections 250.1830 and 250.1840 regarding reports pertaining to mothers and infants, and regarding children to be discharged to a person other than a </w:t>
      </w:r>
      <w:r w:rsidR="00D943CD">
        <w:t>biological</w:t>
      </w:r>
      <w:r>
        <w:t xml:space="preserve"> parent. </w:t>
      </w:r>
    </w:p>
    <w:p w14:paraId="5117784E" w14:textId="77777777" w:rsidR="00DD7F59" w:rsidRDefault="00DD7F59" w:rsidP="00DD1A89">
      <w:pPr>
        <w:widowControl w:val="0"/>
        <w:autoSpaceDE w:val="0"/>
        <w:autoSpaceDN w:val="0"/>
        <w:adjustRightInd w:val="0"/>
      </w:pPr>
    </w:p>
    <w:p w14:paraId="0C6F191D" w14:textId="7D8C8451" w:rsidR="00DD7F59" w:rsidRDefault="00DD7F59" w:rsidP="00DD7F59">
      <w:pPr>
        <w:widowControl w:val="0"/>
        <w:autoSpaceDE w:val="0"/>
        <w:autoSpaceDN w:val="0"/>
        <w:adjustRightInd w:val="0"/>
        <w:ind w:left="1440" w:hanging="720"/>
      </w:pPr>
      <w:r>
        <w:t>d)</w:t>
      </w:r>
      <w:r>
        <w:tab/>
        <w:t xml:space="preserve">See Section 250.1830 regarding birth, </w:t>
      </w:r>
      <w:r w:rsidR="00D943CD">
        <w:t>fetal death</w:t>
      </w:r>
      <w:r>
        <w:t xml:space="preserve"> and death reports. </w:t>
      </w:r>
    </w:p>
    <w:p w14:paraId="1D2319AC" w14:textId="77777777" w:rsidR="00DD7F59" w:rsidRDefault="00DD7F59" w:rsidP="00DD1A89">
      <w:pPr>
        <w:widowControl w:val="0"/>
        <w:autoSpaceDE w:val="0"/>
        <w:autoSpaceDN w:val="0"/>
        <w:adjustRightInd w:val="0"/>
      </w:pPr>
    </w:p>
    <w:p w14:paraId="669C8E6F" w14:textId="41386904" w:rsidR="00DD7F59" w:rsidRDefault="00DD7F59" w:rsidP="00DD7F59">
      <w:pPr>
        <w:widowControl w:val="0"/>
        <w:autoSpaceDE w:val="0"/>
        <w:autoSpaceDN w:val="0"/>
        <w:adjustRightInd w:val="0"/>
        <w:ind w:left="1440" w:hanging="720"/>
      </w:pPr>
      <w:r>
        <w:t>e)</w:t>
      </w:r>
      <w:r>
        <w:tab/>
        <w:t xml:space="preserve">The death of a pregnant </w:t>
      </w:r>
      <w:r w:rsidR="00D943CD">
        <w:t>person</w:t>
      </w:r>
      <w:r>
        <w:t xml:space="preserve"> or the death of a </w:t>
      </w:r>
      <w:r w:rsidR="00D943CD">
        <w:t>person</w:t>
      </w:r>
      <w:r>
        <w:t xml:space="preserve"> within one year following the termination of </w:t>
      </w:r>
      <w:r w:rsidR="00D943CD">
        <w:t>that person's</w:t>
      </w:r>
      <w:r>
        <w:t xml:space="preserve"> pregnancy shall be reported to the Department as required by the Department's rules titled Maternal Death Review and in Section 250.1830(</w:t>
      </w:r>
      <w:proofErr w:type="spellStart"/>
      <w:r>
        <w:t>i</w:t>
      </w:r>
      <w:proofErr w:type="spellEnd"/>
      <w:r>
        <w:t xml:space="preserve">)(2).  This is required regardless of the type of hospital or the reason for the patient's admission. </w:t>
      </w:r>
    </w:p>
    <w:p w14:paraId="1F1125F2" w14:textId="77777777" w:rsidR="00DD7F59" w:rsidRDefault="00DD7F59" w:rsidP="00DD1A89">
      <w:pPr>
        <w:widowControl w:val="0"/>
        <w:autoSpaceDE w:val="0"/>
        <w:autoSpaceDN w:val="0"/>
        <w:adjustRightInd w:val="0"/>
      </w:pPr>
    </w:p>
    <w:p w14:paraId="6FE984C9" w14:textId="77777777" w:rsidR="00DD7F59" w:rsidRPr="00E9078C" w:rsidRDefault="00DD7F59" w:rsidP="00DD7F59">
      <w:pPr>
        <w:widowControl w:val="0"/>
        <w:autoSpaceDE w:val="0"/>
        <w:autoSpaceDN w:val="0"/>
        <w:adjustRightInd w:val="0"/>
        <w:ind w:left="1440" w:hanging="720"/>
      </w:pPr>
      <w:r>
        <w:t>f)</w:t>
      </w:r>
      <w:r>
        <w:tab/>
      </w:r>
      <w:r w:rsidRPr="00E9078C">
        <w:t xml:space="preserve">Any incident or occurrence in a hospital that could be considered a catastrophe or creates </w:t>
      </w:r>
      <w:r w:rsidR="00BE5CC9" w:rsidRPr="00E9078C">
        <w:t>a potential</w:t>
      </w:r>
      <w:r w:rsidRPr="00E9078C">
        <w:t xml:space="preserve"> immediate jeopardy or dangerous threat that requires the transfer of patients to other parts of the facility or other facilities, including but not limited to fire, flood, or power failure, shall be reported to the Department within </w:t>
      </w:r>
      <w:r w:rsidR="00BE5CC9" w:rsidRPr="00E9078C">
        <w:t>24 hours after the</w:t>
      </w:r>
      <w:r w:rsidRPr="00E9078C">
        <w:t xml:space="preserve"> occurrence.</w:t>
      </w:r>
      <w:r w:rsidR="00A61365" w:rsidRPr="00E9078C">
        <w:t xml:space="preserve"> </w:t>
      </w:r>
      <w:r w:rsidRPr="00E9078C">
        <w:t xml:space="preserve"> </w:t>
      </w:r>
      <w:r w:rsidR="00A61365" w:rsidRPr="00E9078C">
        <w:t>Reports shall be made to the Department via email at:  DPH.HospitalReports@illinois.gov.</w:t>
      </w:r>
    </w:p>
    <w:p w14:paraId="6C9804FC" w14:textId="77777777" w:rsidR="00DD7F59" w:rsidRPr="00E9078C" w:rsidRDefault="00DD7F59" w:rsidP="00DD7F59">
      <w:pPr>
        <w:widowControl w:val="0"/>
        <w:autoSpaceDE w:val="0"/>
        <w:autoSpaceDN w:val="0"/>
        <w:adjustRightInd w:val="0"/>
      </w:pPr>
    </w:p>
    <w:p w14:paraId="1F041C07" w14:textId="77777777" w:rsidR="00DD7F59" w:rsidRDefault="00DD7F59" w:rsidP="00DD7F59">
      <w:pPr>
        <w:widowControl w:val="0"/>
        <w:autoSpaceDE w:val="0"/>
        <w:autoSpaceDN w:val="0"/>
        <w:adjustRightInd w:val="0"/>
        <w:ind w:left="1440" w:hanging="720"/>
      </w:pPr>
      <w:r>
        <w:t>g)</w:t>
      </w:r>
      <w:r>
        <w:tab/>
        <w:t xml:space="preserve">Reporting Opioid Overdoses </w:t>
      </w:r>
    </w:p>
    <w:p w14:paraId="7BB40258" w14:textId="77777777" w:rsidR="00DD7F59" w:rsidRDefault="00DD7F59" w:rsidP="00DD1A89">
      <w:pPr>
        <w:widowControl w:val="0"/>
        <w:autoSpaceDE w:val="0"/>
        <w:autoSpaceDN w:val="0"/>
        <w:adjustRightInd w:val="0"/>
      </w:pPr>
    </w:p>
    <w:p w14:paraId="43CAE6F3" w14:textId="77777777" w:rsidR="00DD7F59" w:rsidRDefault="00DD7F59" w:rsidP="00DD7F59">
      <w:pPr>
        <w:widowControl w:val="0"/>
        <w:autoSpaceDE w:val="0"/>
        <w:autoSpaceDN w:val="0"/>
        <w:adjustRightInd w:val="0"/>
        <w:ind w:left="2160" w:hanging="720"/>
        <w:rPr>
          <w:i/>
        </w:rPr>
      </w:pPr>
      <w:r>
        <w:t>1)</w:t>
      </w:r>
      <w:r>
        <w:rPr>
          <w:i/>
        </w:rPr>
        <w:tab/>
        <w:t>As used in this Section, the following definitions apply:</w:t>
      </w:r>
    </w:p>
    <w:p w14:paraId="5A0AD137" w14:textId="77777777" w:rsidR="00DD7F59" w:rsidRDefault="00DD7F59" w:rsidP="00DD1A89">
      <w:pPr>
        <w:widowControl w:val="0"/>
        <w:autoSpaceDE w:val="0"/>
        <w:autoSpaceDN w:val="0"/>
        <w:adjustRightInd w:val="0"/>
      </w:pPr>
    </w:p>
    <w:p w14:paraId="6C091C1F" w14:textId="77777777" w:rsidR="00DD7F59" w:rsidRDefault="00DD7F59" w:rsidP="00DD7F59">
      <w:pPr>
        <w:widowControl w:val="0"/>
        <w:autoSpaceDE w:val="0"/>
        <w:autoSpaceDN w:val="0"/>
        <w:adjustRightInd w:val="0"/>
        <w:ind w:left="2880"/>
        <w:rPr>
          <w:i/>
        </w:rPr>
      </w:pPr>
      <w:r>
        <w:rPr>
          <w:i/>
        </w:rPr>
        <w:t>"Overdose" – has the same meaning as provided in Section 414 of the Illinois Controlled Substances Act.</w:t>
      </w:r>
    </w:p>
    <w:p w14:paraId="3488B5BE" w14:textId="77777777" w:rsidR="00DD7F59" w:rsidRDefault="00DD7F59" w:rsidP="00DD1A89">
      <w:pPr>
        <w:widowControl w:val="0"/>
        <w:autoSpaceDE w:val="0"/>
        <w:autoSpaceDN w:val="0"/>
        <w:adjustRightInd w:val="0"/>
      </w:pPr>
    </w:p>
    <w:p w14:paraId="7BB103D3" w14:textId="77777777" w:rsidR="00DD7F59" w:rsidRDefault="00DD7F59" w:rsidP="00DD7F59">
      <w:pPr>
        <w:widowControl w:val="0"/>
        <w:autoSpaceDE w:val="0"/>
        <w:autoSpaceDN w:val="0"/>
        <w:adjustRightInd w:val="0"/>
        <w:ind w:left="2880"/>
      </w:pPr>
      <w:r>
        <w:rPr>
          <w:i/>
        </w:rPr>
        <w:t xml:space="preserve">"Health care professional" – a physician licensed to practice medicine in all its branches, a physician assistant, or an advanced practice </w:t>
      </w:r>
      <w:r w:rsidR="00993FF0">
        <w:rPr>
          <w:i/>
        </w:rPr>
        <w:t xml:space="preserve">registered </w:t>
      </w:r>
      <w:r>
        <w:rPr>
          <w:i/>
        </w:rPr>
        <w:t>nurse licensed in Illinois</w:t>
      </w:r>
      <w:r>
        <w:t>.</w:t>
      </w:r>
    </w:p>
    <w:p w14:paraId="50ECB2A2" w14:textId="77777777" w:rsidR="00DD7F59" w:rsidRDefault="00DD7F59" w:rsidP="00DD1A89">
      <w:pPr>
        <w:widowControl w:val="0"/>
        <w:autoSpaceDE w:val="0"/>
        <w:autoSpaceDN w:val="0"/>
        <w:adjustRightInd w:val="0"/>
      </w:pPr>
    </w:p>
    <w:p w14:paraId="238DC9CB" w14:textId="77777777" w:rsidR="00DD7F59" w:rsidRDefault="00DD7F59" w:rsidP="00DD7F59">
      <w:pPr>
        <w:widowControl w:val="0"/>
        <w:autoSpaceDE w:val="0"/>
        <w:autoSpaceDN w:val="0"/>
        <w:adjustRightInd w:val="0"/>
        <w:ind w:left="2160" w:hanging="720"/>
      </w:pPr>
      <w:r>
        <w:t>2)</w:t>
      </w:r>
      <w:r>
        <w:tab/>
      </w:r>
      <w:r>
        <w:rPr>
          <w:i/>
        </w:rPr>
        <w:t>When treatment is provided in a hospital's emergency department, a health care professional who treats a drug overdose, hospital administrator, or</w:t>
      </w:r>
      <w:r>
        <w:t xml:space="preserve"> the </w:t>
      </w:r>
      <w:r>
        <w:rPr>
          <w:i/>
        </w:rPr>
        <w:t xml:space="preserve">designee </w:t>
      </w:r>
      <w:r>
        <w:t>of either</w:t>
      </w:r>
      <w:r>
        <w:rPr>
          <w:i/>
        </w:rPr>
        <w:t xml:space="preserve"> shall report the case to the Department of Public Health within 48 hours after providing treatment for the drug overdose or at such time the drug overdose is confirmed</w:t>
      </w:r>
      <w:r>
        <w:t xml:space="preserve">. </w:t>
      </w:r>
    </w:p>
    <w:p w14:paraId="11833B87" w14:textId="77777777" w:rsidR="00DD7F59" w:rsidRDefault="00DD7F59" w:rsidP="00DD1A89">
      <w:pPr>
        <w:widowControl w:val="0"/>
        <w:autoSpaceDE w:val="0"/>
        <w:autoSpaceDN w:val="0"/>
        <w:adjustRightInd w:val="0"/>
      </w:pPr>
    </w:p>
    <w:p w14:paraId="728F6828" w14:textId="77777777" w:rsidR="00DD7F59" w:rsidRDefault="00DD7F59" w:rsidP="00DD7F59">
      <w:pPr>
        <w:widowControl w:val="0"/>
        <w:autoSpaceDE w:val="0"/>
        <w:autoSpaceDN w:val="0"/>
        <w:adjustRightInd w:val="0"/>
        <w:ind w:left="2160" w:hanging="720"/>
      </w:pPr>
      <w:r>
        <w:lastRenderedPageBreak/>
        <w:t>3)</w:t>
      </w:r>
      <w:r>
        <w:tab/>
        <w:t>The hospital shall report to the Department the following information electronically or on forms provided by the Department:</w:t>
      </w:r>
    </w:p>
    <w:p w14:paraId="029BB6A1" w14:textId="77777777" w:rsidR="00DD7F59" w:rsidRDefault="00DD7F59" w:rsidP="00DD1A89">
      <w:pPr>
        <w:widowControl w:val="0"/>
        <w:autoSpaceDE w:val="0"/>
        <w:autoSpaceDN w:val="0"/>
        <w:adjustRightInd w:val="0"/>
      </w:pPr>
    </w:p>
    <w:p w14:paraId="2AB9E7C7" w14:textId="77777777" w:rsidR="00DD7F59" w:rsidRDefault="00DD7F59" w:rsidP="00DD7F59">
      <w:pPr>
        <w:widowControl w:val="0"/>
        <w:autoSpaceDE w:val="0"/>
        <w:autoSpaceDN w:val="0"/>
        <w:adjustRightInd w:val="0"/>
        <w:ind w:left="2880" w:hanging="720"/>
      </w:pPr>
      <w:r>
        <w:t>A)</w:t>
      </w:r>
      <w:r>
        <w:tab/>
      </w:r>
      <w:r>
        <w:rPr>
          <w:i/>
        </w:rPr>
        <w:t>Whether an opioid antagonist was administered</w:t>
      </w:r>
      <w:r>
        <w:t xml:space="preserve"> and, if yes, the name of the antagonist; </w:t>
      </w:r>
    </w:p>
    <w:p w14:paraId="38FD73FE" w14:textId="77777777" w:rsidR="00DD7F59" w:rsidRDefault="00DD7F59" w:rsidP="00DD1A89">
      <w:pPr>
        <w:widowControl w:val="0"/>
        <w:autoSpaceDE w:val="0"/>
        <w:autoSpaceDN w:val="0"/>
        <w:adjustRightInd w:val="0"/>
      </w:pPr>
    </w:p>
    <w:p w14:paraId="6E57B8AD" w14:textId="77777777" w:rsidR="00DD7F59" w:rsidRDefault="00DD7F59" w:rsidP="00DD7F59">
      <w:pPr>
        <w:widowControl w:val="0"/>
        <w:autoSpaceDE w:val="0"/>
        <w:autoSpaceDN w:val="0"/>
        <w:adjustRightInd w:val="0"/>
        <w:ind w:left="2880" w:hanging="720"/>
      </w:pPr>
      <w:r>
        <w:t>B)</w:t>
      </w:r>
      <w:r>
        <w:tab/>
      </w:r>
      <w:r>
        <w:rPr>
          <w:i/>
        </w:rPr>
        <w:t>The cause of the overdose,</w:t>
      </w:r>
      <w:r>
        <w:t xml:space="preserve"> including, but not limited to, whether the overdose was caused by an opioid or heroin</w:t>
      </w:r>
      <w:r>
        <w:rPr>
          <w:i/>
        </w:rPr>
        <w:t>; and</w:t>
      </w:r>
      <w:r>
        <w:t xml:space="preserve"> </w:t>
      </w:r>
    </w:p>
    <w:p w14:paraId="3654CA25" w14:textId="77777777" w:rsidR="00DD7F59" w:rsidRDefault="00DD7F59" w:rsidP="00DD1A89">
      <w:pPr>
        <w:widowControl w:val="0"/>
        <w:autoSpaceDE w:val="0"/>
        <w:autoSpaceDN w:val="0"/>
        <w:adjustRightInd w:val="0"/>
      </w:pPr>
    </w:p>
    <w:p w14:paraId="6DDBCCAC" w14:textId="77777777" w:rsidR="00DD7F59" w:rsidRDefault="00DD7F59" w:rsidP="00DD7F59">
      <w:pPr>
        <w:widowControl w:val="0"/>
        <w:autoSpaceDE w:val="0"/>
        <w:autoSpaceDN w:val="0"/>
        <w:adjustRightInd w:val="0"/>
        <w:ind w:left="2880" w:hanging="720"/>
      </w:pPr>
      <w:r>
        <w:t>C)</w:t>
      </w:r>
      <w:r>
        <w:tab/>
      </w:r>
      <w:r>
        <w:rPr>
          <w:i/>
        </w:rPr>
        <w:t>The demographic information of the person treated</w:t>
      </w:r>
      <w:r>
        <w:t>.  The demographic information shall include, but is not limited to, the patient's:</w:t>
      </w:r>
    </w:p>
    <w:p w14:paraId="2447DD85" w14:textId="77777777" w:rsidR="00DD7F59" w:rsidRDefault="00DD7F59" w:rsidP="00DD1A89">
      <w:pPr>
        <w:widowControl w:val="0"/>
        <w:autoSpaceDE w:val="0"/>
        <w:autoSpaceDN w:val="0"/>
        <w:adjustRightInd w:val="0"/>
      </w:pPr>
    </w:p>
    <w:p w14:paraId="7409F4AE" w14:textId="77777777" w:rsidR="00DD7F59" w:rsidRDefault="00DD7F59" w:rsidP="00DD7F59">
      <w:pPr>
        <w:widowControl w:val="0"/>
        <w:autoSpaceDE w:val="0"/>
        <w:autoSpaceDN w:val="0"/>
        <w:adjustRightInd w:val="0"/>
        <w:ind w:left="3600" w:hanging="720"/>
      </w:pPr>
      <w:proofErr w:type="spellStart"/>
      <w:r>
        <w:t>i</w:t>
      </w:r>
      <w:proofErr w:type="spellEnd"/>
      <w:r>
        <w:t>)</w:t>
      </w:r>
      <w:r>
        <w:tab/>
        <w:t>Age;</w:t>
      </w:r>
    </w:p>
    <w:p w14:paraId="3CFCAE59" w14:textId="77777777" w:rsidR="00DD7F59" w:rsidRDefault="00DD7F59" w:rsidP="00DD1A89">
      <w:pPr>
        <w:widowControl w:val="0"/>
        <w:autoSpaceDE w:val="0"/>
        <w:autoSpaceDN w:val="0"/>
        <w:adjustRightInd w:val="0"/>
      </w:pPr>
    </w:p>
    <w:p w14:paraId="44B95EFA" w14:textId="77777777" w:rsidR="00DD7F59" w:rsidRDefault="00DD7F59" w:rsidP="00DD7F59">
      <w:pPr>
        <w:widowControl w:val="0"/>
        <w:autoSpaceDE w:val="0"/>
        <w:autoSpaceDN w:val="0"/>
        <w:adjustRightInd w:val="0"/>
        <w:ind w:left="3600" w:hanging="720"/>
      </w:pPr>
      <w:r>
        <w:t>ii)</w:t>
      </w:r>
      <w:r>
        <w:tab/>
        <w:t>Sex;</w:t>
      </w:r>
    </w:p>
    <w:p w14:paraId="167D8413" w14:textId="77777777" w:rsidR="00DD7F59" w:rsidRDefault="00DD7F59" w:rsidP="00DD1A89">
      <w:pPr>
        <w:widowControl w:val="0"/>
        <w:autoSpaceDE w:val="0"/>
        <w:autoSpaceDN w:val="0"/>
        <w:adjustRightInd w:val="0"/>
      </w:pPr>
    </w:p>
    <w:p w14:paraId="68408BEA" w14:textId="77777777" w:rsidR="00DD7F59" w:rsidRDefault="00DD7F59" w:rsidP="00DD7F59">
      <w:pPr>
        <w:widowControl w:val="0"/>
        <w:autoSpaceDE w:val="0"/>
        <w:autoSpaceDN w:val="0"/>
        <w:adjustRightInd w:val="0"/>
        <w:ind w:left="3600" w:hanging="720"/>
      </w:pPr>
      <w:r>
        <w:t>iii)</w:t>
      </w:r>
      <w:r>
        <w:tab/>
        <w:t>Federal Information Process Standards county code;</w:t>
      </w:r>
    </w:p>
    <w:p w14:paraId="0F4486FF" w14:textId="77777777" w:rsidR="00DD7F59" w:rsidRDefault="00DD7F59" w:rsidP="00DD1A89">
      <w:pPr>
        <w:widowControl w:val="0"/>
        <w:autoSpaceDE w:val="0"/>
        <w:autoSpaceDN w:val="0"/>
        <w:adjustRightInd w:val="0"/>
      </w:pPr>
    </w:p>
    <w:p w14:paraId="52FBA932" w14:textId="77777777" w:rsidR="00DD7F59" w:rsidRDefault="00DD7F59" w:rsidP="00DD7F59">
      <w:pPr>
        <w:widowControl w:val="0"/>
        <w:autoSpaceDE w:val="0"/>
        <w:autoSpaceDN w:val="0"/>
        <w:adjustRightInd w:val="0"/>
        <w:ind w:left="3600" w:hanging="720"/>
      </w:pPr>
      <w:r>
        <w:t>iv)</w:t>
      </w:r>
      <w:r>
        <w:tab/>
        <w:t>Zip code;</w:t>
      </w:r>
    </w:p>
    <w:p w14:paraId="1B96C4B9" w14:textId="77777777" w:rsidR="00DD7F59" w:rsidRDefault="00DD7F59" w:rsidP="00DD1A89">
      <w:pPr>
        <w:widowControl w:val="0"/>
        <w:autoSpaceDE w:val="0"/>
        <w:autoSpaceDN w:val="0"/>
        <w:adjustRightInd w:val="0"/>
      </w:pPr>
    </w:p>
    <w:p w14:paraId="0205B3B8" w14:textId="77777777" w:rsidR="00DD7F59" w:rsidRDefault="00DD7F59" w:rsidP="00DD7F59">
      <w:pPr>
        <w:widowControl w:val="0"/>
        <w:autoSpaceDE w:val="0"/>
        <w:autoSpaceDN w:val="0"/>
        <w:adjustRightInd w:val="0"/>
        <w:ind w:left="3600" w:hanging="720"/>
      </w:pPr>
      <w:r>
        <w:t>v)</w:t>
      </w:r>
      <w:r>
        <w:tab/>
        <w:t>Race, using the Centers for Disease Control and Prevention (CDC) race category; and</w:t>
      </w:r>
    </w:p>
    <w:p w14:paraId="2FCC4A66" w14:textId="77777777" w:rsidR="00DD7F59" w:rsidRDefault="00DD7F59" w:rsidP="00DD1A89">
      <w:pPr>
        <w:widowControl w:val="0"/>
        <w:autoSpaceDE w:val="0"/>
        <w:autoSpaceDN w:val="0"/>
        <w:adjustRightInd w:val="0"/>
      </w:pPr>
    </w:p>
    <w:p w14:paraId="4B4EF982" w14:textId="77777777" w:rsidR="00DD7F59" w:rsidRDefault="00DD7F59" w:rsidP="00DD7F59">
      <w:pPr>
        <w:widowControl w:val="0"/>
        <w:autoSpaceDE w:val="0"/>
        <w:autoSpaceDN w:val="0"/>
        <w:adjustRightInd w:val="0"/>
        <w:ind w:left="3600" w:hanging="720"/>
      </w:pPr>
      <w:r>
        <w:t>vi)</w:t>
      </w:r>
      <w:r>
        <w:tab/>
        <w:t>Ethnicity, using the CDC ethnicity group.</w:t>
      </w:r>
    </w:p>
    <w:p w14:paraId="2FC6C186" w14:textId="77777777" w:rsidR="00DD7F59" w:rsidRDefault="00DD7F59" w:rsidP="00DD1A89">
      <w:pPr>
        <w:widowControl w:val="0"/>
        <w:autoSpaceDE w:val="0"/>
        <w:autoSpaceDN w:val="0"/>
        <w:adjustRightInd w:val="0"/>
      </w:pPr>
    </w:p>
    <w:p w14:paraId="76FB0E96" w14:textId="77777777" w:rsidR="00DD7F59" w:rsidRDefault="00DD7F59" w:rsidP="00DD7F59">
      <w:pPr>
        <w:widowControl w:val="0"/>
        <w:autoSpaceDE w:val="0"/>
        <w:autoSpaceDN w:val="0"/>
        <w:adjustRightInd w:val="0"/>
        <w:ind w:left="2160" w:hanging="720"/>
      </w:pPr>
      <w:r>
        <w:t>4)</w:t>
      </w:r>
      <w:r>
        <w:tab/>
      </w:r>
      <w:r>
        <w:rPr>
          <w:i/>
        </w:rPr>
        <w:t>The person completing the form</w:t>
      </w:r>
      <w:r>
        <w:t xml:space="preserve"> shall </w:t>
      </w:r>
      <w:r>
        <w:rPr>
          <w:i/>
        </w:rPr>
        <w:t>not disclose the name, address, or any other personal information of the individual experiencing the overdose</w:t>
      </w:r>
      <w:r>
        <w:t>.</w:t>
      </w:r>
    </w:p>
    <w:p w14:paraId="186B99B0" w14:textId="77777777" w:rsidR="00DD7F59" w:rsidRDefault="00DD7F59" w:rsidP="00DD1A89">
      <w:pPr>
        <w:widowControl w:val="0"/>
        <w:autoSpaceDE w:val="0"/>
        <w:autoSpaceDN w:val="0"/>
        <w:adjustRightInd w:val="0"/>
      </w:pPr>
    </w:p>
    <w:p w14:paraId="72F3BEE4" w14:textId="77777777" w:rsidR="00DD7F59" w:rsidRDefault="00DD7F59" w:rsidP="00DD7F59">
      <w:pPr>
        <w:widowControl w:val="0"/>
        <w:autoSpaceDE w:val="0"/>
        <w:autoSpaceDN w:val="0"/>
        <w:adjustRightInd w:val="0"/>
        <w:ind w:left="2160" w:hanging="720"/>
      </w:pPr>
      <w:r>
        <w:t>5)</w:t>
      </w:r>
      <w:r>
        <w:tab/>
      </w:r>
      <w:r>
        <w:rPr>
          <w:i/>
        </w:rPr>
        <w:t>The identity of the person and</w:t>
      </w:r>
      <w:r>
        <w:t xml:space="preserve"> hospital </w:t>
      </w:r>
      <w:r>
        <w:rPr>
          <w:i/>
        </w:rPr>
        <w:t>reporting under this subsection</w:t>
      </w:r>
      <w:r>
        <w:t xml:space="preserve"> (g) </w:t>
      </w:r>
      <w:r>
        <w:rPr>
          <w:i/>
        </w:rPr>
        <w:t>shall not be disclosed to the subject of the report. For the purposes of this subsection</w:t>
      </w:r>
      <w:r>
        <w:t xml:space="preserve"> (g), </w:t>
      </w:r>
      <w:r>
        <w:rPr>
          <w:i/>
        </w:rPr>
        <w:t>the health care professional, hospital administrator, or designee making the report</w:t>
      </w:r>
      <w:r>
        <w:t xml:space="preserve">, </w:t>
      </w:r>
      <w:r>
        <w:rPr>
          <w:i/>
        </w:rPr>
        <w:t>and his or her employer</w:t>
      </w:r>
      <w:r>
        <w:t xml:space="preserve">, </w:t>
      </w:r>
      <w:r>
        <w:rPr>
          <w:i/>
        </w:rPr>
        <w:t xml:space="preserve">shall not be held criminally, civilly, or professionally liable for reporting under this subsection </w:t>
      </w:r>
      <w:r>
        <w:t>(g)(5)</w:t>
      </w:r>
      <w:r>
        <w:rPr>
          <w:i/>
        </w:rPr>
        <w:t>, except for willful or wanton misconduct</w:t>
      </w:r>
      <w:r>
        <w:t xml:space="preserve">.  (Section </w:t>
      </w:r>
      <w:proofErr w:type="spellStart"/>
      <w:r>
        <w:t>6.14g</w:t>
      </w:r>
      <w:proofErr w:type="spellEnd"/>
      <w:r>
        <w:t xml:space="preserve"> of the Act)</w:t>
      </w:r>
    </w:p>
    <w:p w14:paraId="0BEF1563" w14:textId="77777777" w:rsidR="00A61365" w:rsidRDefault="00A61365" w:rsidP="006548DA">
      <w:pPr>
        <w:widowControl w:val="0"/>
        <w:autoSpaceDE w:val="0"/>
        <w:autoSpaceDN w:val="0"/>
        <w:adjustRightInd w:val="0"/>
      </w:pPr>
    </w:p>
    <w:p w14:paraId="6E142172" w14:textId="77777777" w:rsidR="00A61365" w:rsidRPr="00E9078C" w:rsidRDefault="00A61365" w:rsidP="00A61365">
      <w:pPr>
        <w:widowControl w:val="0"/>
        <w:ind w:left="1440" w:hanging="720"/>
      </w:pPr>
      <w:r w:rsidRPr="00E9078C">
        <w:t>h)</w:t>
      </w:r>
      <w:r w:rsidRPr="00E9078C">
        <w:tab/>
        <w:t>Each hospital shall notify the Department within 24 hours after receiving a notice of impending strike of staff providing direct care.  The hospital shall submit a strike contingency plan to the Department no later than three calendar days prior to the impending strike.</w:t>
      </w:r>
    </w:p>
    <w:p w14:paraId="1554123F" w14:textId="77777777" w:rsidR="00A61365" w:rsidRDefault="00A61365" w:rsidP="006548DA">
      <w:pPr>
        <w:widowControl w:val="0"/>
        <w:autoSpaceDE w:val="0"/>
        <w:autoSpaceDN w:val="0"/>
        <w:adjustRightInd w:val="0"/>
      </w:pPr>
    </w:p>
    <w:p w14:paraId="554CA9DE" w14:textId="79BEFF67" w:rsidR="00BC1AF2" w:rsidRDefault="00BC1AF2" w:rsidP="00BC1AF2">
      <w:pPr>
        <w:widowControl w:val="0"/>
        <w:autoSpaceDE w:val="0"/>
        <w:autoSpaceDN w:val="0"/>
        <w:adjustRightInd w:val="0"/>
        <w:ind w:left="1440" w:hanging="720"/>
        <w:rPr>
          <w:rFonts w:eastAsia="Calibri"/>
          <w:szCs w:val="22"/>
        </w:rPr>
      </w:pPr>
      <w:proofErr w:type="spellStart"/>
      <w:r>
        <w:rPr>
          <w:rFonts w:eastAsia="Calibri"/>
          <w:szCs w:val="22"/>
        </w:rPr>
        <w:t>i</w:t>
      </w:r>
      <w:proofErr w:type="spellEnd"/>
      <w:r>
        <w:rPr>
          <w:rFonts w:eastAsia="Calibri"/>
          <w:szCs w:val="22"/>
        </w:rPr>
        <w:t>)</w:t>
      </w:r>
      <w:r>
        <w:rPr>
          <w:rFonts w:eastAsia="Calibri"/>
          <w:szCs w:val="22"/>
        </w:rPr>
        <w:tab/>
      </w:r>
      <w:r w:rsidRPr="00E224BC">
        <w:rPr>
          <w:rFonts w:eastAsia="Calibri"/>
          <w:szCs w:val="22"/>
        </w:rPr>
        <w:t>Hospitals without a licensed pediatric unit that provide limited inpatient or observation services to pediatric patients (</w:t>
      </w:r>
      <w:r w:rsidR="004D1113">
        <w:rPr>
          <w:rFonts w:eastAsia="Calibri"/>
          <w:szCs w:val="22"/>
        </w:rPr>
        <w:t xml:space="preserve">neonate </w:t>
      </w:r>
      <w:r w:rsidR="00920EFA">
        <w:rPr>
          <w:rFonts w:eastAsia="Calibri"/>
          <w:szCs w:val="22"/>
        </w:rPr>
        <w:t>(</w:t>
      </w:r>
      <w:r w:rsidR="004D1113">
        <w:rPr>
          <w:rFonts w:eastAsia="Calibri"/>
          <w:szCs w:val="22"/>
        </w:rPr>
        <w:t>less than 28 days of age</w:t>
      </w:r>
      <w:r w:rsidR="00920EFA">
        <w:rPr>
          <w:rFonts w:eastAsia="Calibri"/>
          <w:szCs w:val="22"/>
        </w:rPr>
        <w:t>)</w:t>
      </w:r>
      <w:r w:rsidR="004D1113">
        <w:rPr>
          <w:rFonts w:eastAsia="Calibri"/>
          <w:szCs w:val="22"/>
        </w:rPr>
        <w:t xml:space="preserve"> to </w:t>
      </w:r>
      <w:r w:rsidRPr="00E224BC">
        <w:rPr>
          <w:rFonts w:eastAsia="Calibri"/>
          <w:szCs w:val="22"/>
        </w:rPr>
        <w:t>14 years old)</w:t>
      </w:r>
      <w:r>
        <w:rPr>
          <w:rFonts w:eastAsia="Calibri"/>
          <w:szCs w:val="22"/>
        </w:rPr>
        <w:t xml:space="preserve"> shall report the following information to the Department quarterly</w:t>
      </w:r>
      <w:r w:rsidR="00F53876">
        <w:rPr>
          <w:rFonts w:eastAsia="Calibri"/>
          <w:szCs w:val="22"/>
        </w:rPr>
        <w:t xml:space="preserve"> </w:t>
      </w:r>
      <w:r w:rsidR="00F53876" w:rsidRPr="00B53364">
        <w:t xml:space="preserve">on </w:t>
      </w:r>
      <w:r w:rsidR="00F53876" w:rsidRPr="00B53364">
        <w:lastRenderedPageBreak/>
        <w:t>the form available at: https://dph.illinois.gov/topics-services/health-care-regulation/hospitals.html</w:t>
      </w:r>
      <w:r w:rsidRPr="00E224BC">
        <w:rPr>
          <w:rFonts w:eastAsia="Calibri"/>
          <w:szCs w:val="22"/>
        </w:rPr>
        <w:t>:</w:t>
      </w:r>
    </w:p>
    <w:p w14:paraId="791D7F37" w14:textId="77777777" w:rsidR="00BC1AF2" w:rsidRDefault="00BC1AF2" w:rsidP="002537C8">
      <w:pPr>
        <w:widowControl w:val="0"/>
        <w:autoSpaceDE w:val="0"/>
        <w:autoSpaceDN w:val="0"/>
        <w:adjustRightInd w:val="0"/>
        <w:rPr>
          <w:rFonts w:eastAsia="Calibri"/>
          <w:szCs w:val="22"/>
        </w:rPr>
      </w:pPr>
    </w:p>
    <w:p w14:paraId="7BA64B73" w14:textId="77777777" w:rsidR="00BC1AF2" w:rsidRDefault="00BC1AF2" w:rsidP="00BC1AF2">
      <w:pPr>
        <w:widowControl w:val="0"/>
        <w:autoSpaceDE w:val="0"/>
        <w:autoSpaceDN w:val="0"/>
        <w:adjustRightInd w:val="0"/>
        <w:ind w:left="1440"/>
        <w:rPr>
          <w:rFonts w:eastAsia="Calibri"/>
          <w:szCs w:val="22"/>
        </w:rPr>
      </w:pPr>
      <w:r>
        <w:rPr>
          <w:rFonts w:eastAsia="Calibri"/>
          <w:szCs w:val="22"/>
        </w:rPr>
        <w:t>1)</w:t>
      </w:r>
      <w:r>
        <w:rPr>
          <w:rFonts w:eastAsia="Calibri"/>
          <w:szCs w:val="22"/>
        </w:rPr>
        <w:tab/>
        <w:t>The number of pediatric patients admitted or under observation;</w:t>
      </w:r>
    </w:p>
    <w:p w14:paraId="35A97F54" w14:textId="77777777" w:rsidR="00BC1AF2" w:rsidRDefault="00BC1AF2" w:rsidP="002537C8">
      <w:pPr>
        <w:widowControl w:val="0"/>
        <w:autoSpaceDE w:val="0"/>
        <w:autoSpaceDN w:val="0"/>
        <w:adjustRightInd w:val="0"/>
        <w:rPr>
          <w:rFonts w:eastAsia="Calibri"/>
          <w:szCs w:val="22"/>
        </w:rPr>
      </w:pPr>
    </w:p>
    <w:p w14:paraId="4286796E" w14:textId="77777777" w:rsidR="00BC1AF2" w:rsidRDefault="00BC1AF2" w:rsidP="00BC1AF2">
      <w:pPr>
        <w:widowControl w:val="0"/>
        <w:autoSpaceDE w:val="0"/>
        <w:autoSpaceDN w:val="0"/>
        <w:adjustRightInd w:val="0"/>
        <w:ind w:left="1440"/>
        <w:rPr>
          <w:rFonts w:eastAsia="Calibri"/>
          <w:szCs w:val="22"/>
        </w:rPr>
      </w:pPr>
      <w:r>
        <w:rPr>
          <w:rFonts w:eastAsia="Calibri"/>
          <w:szCs w:val="22"/>
        </w:rPr>
        <w:t>2)</w:t>
      </w:r>
      <w:r>
        <w:rPr>
          <w:rFonts w:eastAsia="Calibri"/>
          <w:szCs w:val="22"/>
        </w:rPr>
        <w:tab/>
        <w:t>The number of pediatric mortalities;</w:t>
      </w:r>
    </w:p>
    <w:p w14:paraId="3BED487A" w14:textId="77777777" w:rsidR="00BC1AF2" w:rsidRDefault="00BC1AF2" w:rsidP="002537C8">
      <w:pPr>
        <w:widowControl w:val="0"/>
        <w:autoSpaceDE w:val="0"/>
        <w:autoSpaceDN w:val="0"/>
        <w:adjustRightInd w:val="0"/>
        <w:rPr>
          <w:rFonts w:eastAsia="Calibri"/>
          <w:szCs w:val="22"/>
        </w:rPr>
      </w:pPr>
    </w:p>
    <w:p w14:paraId="19025028" w14:textId="77777777" w:rsidR="00BC1AF2" w:rsidRDefault="00BC1AF2" w:rsidP="00BC1AF2">
      <w:pPr>
        <w:widowControl w:val="0"/>
        <w:autoSpaceDE w:val="0"/>
        <w:autoSpaceDN w:val="0"/>
        <w:adjustRightInd w:val="0"/>
        <w:ind w:left="1440"/>
        <w:rPr>
          <w:rFonts w:eastAsia="Calibri"/>
          <w:szCs w:val="22"/>
        </w:rPr>
      </w:pPr>
      <w:r>
        <w:rPr>
          <w:rFonts w:eastAsia="Calibri"/>
          <w:szCs w:val="22"/>
        </w:rPr>
        <w:t>3)</w:t>
      </w:r>
      <w:r>
        <w:rPr>
          <w:rFonts w:eastAsia="Calibri"/>
          <w:szCs w:val="22"/>
        </w:rPr>
        <w:tab/>
        <w:t>The number of pediatric patients admitted and ultimately transferred; and</w:t>
      </w:r>
    </w:p>
    <w:p w14:paraId="08C9CE39" w14:textId="77777777" w:rsidR="00BC1AF2" w:rsidRDefault="00BC1AF2" w:rsidP="002537C8">
      <w:pPr>
        <w:widowControl w:val="0"/>
        <w:autoSpaceDE w:val="0"/>
        <w:autoSpaceDN w:val="0"/>
        <w:adjustRightInd w:val="0"/>
        <w:rPr>
          <w:rFonts w:eastAsia="Calibri"/>
          <w:szCs w:val="22"/>
        </w:rPr>
      </w:pPr>
    </w:p>
    <w:p w14:paraId="40F92352" w14:textId="77777777" w:rsidR="00BC1AF2" w:rsidRDefault="00BC1AF2" w:rsidP="00BC1AF2">
      <w:pPr>
        <w:widowControl w:val="0"/>
        <w:autoSpaceDE w:val="0"/>
        <w:autoSpaceDN w:val="0"/>
        <w:adjustRightInd w:val="0"/>
        <w:ind w:left="2160" w:hanging="720"/>
        <w:rPr>
          <w:rFonts w:eastAsia="Calibri"/>
          <w:szCs w:val="22"/>
        </w:rPr>
      </w:pPr>
      <w:r>
        <w:rPr>
          <w:rFonts w:eastAsia="Calibri"/>
          <w:szCs w:val="22"/>
        </w:rPr>
        <w:t>4)</w:t>
      </w:r>
      <w:r>
        <w:rPr>
          <w:rFonts w:eastAsia="Calibri"/>
          <w:szCs w:val="22"/>
        </w:rPr>
        <w:tab/>
        <w:t>A breakdown of those pediatric patients that were transferred via the emergency department, post-procedure, or from an in-patient or observation status setting.</w:t>
      </w:r>
    </w:p>
    <w:p w14:paraId="30CCC6A0" w14:textId="77777777" w:rsidR="00BC1AF2" w:rsidRDefault="00BC1AF2" w:rsidP="002537C8">
      <w:pPr>
        <w:widowControl w:val="0"/>
        <w:autoSpaceDE w:val="0"/>
        <w:autoSpaceDN w:val="0"/>
        <w:adjustRightInd w:val="0"/>
        <w:rPr>
          <w:rFonts w:eastAsia="Calibri"/>
          <w:szCs w:val="22"/>
        </w:rPr>
      </w:pPr>
    </w:p>
    <w:p w14:paraId="3AECA6B1" w14:textId="7AD58DBB" w:rsidR="00BC1AF2" w:rsidRDefault="00BC1AF2" w:rsidP="00BC1AF2">
      <w:pPr>
        <w:widowControl w:val="0"/>
        <w:autoSpaceDE w:val="0"/>
        <w:autoSpaceDN w:val="0"/>
        <w:adjustRightInd w:val="0"/>
        <w:ind w:left="1440" w:hanging="720"/>
        <w:rPr>
          <w:rFonts w:eastAsia="Calibri"/>
          <w:szCs w:val="22"/>
        </w:rPr>
      </w:pPr>
      <w:r>
        <w:rPr>
          <w:rFonts w:eastAsia="Calibri"/>
          <w:szCs w:val="22"/>
        </w:rPr>
        <w:t>j)</w:t>
      </w:r>
      <w:r>
        <w:rPr>
          <w:rFonts w:eastAsia="Calibri"/>
          <w:szCs w:val="22"/>
        </w:rPr>
        <w:tab/>
        <w:t>Consulting hospitals shall report the following information to the Department</w:t>
      </w:r>
      <w:r w:rsidRPr="00BC1AF2">
        <w:rPr>
          <w:rFonts w:eastAsia="Calibri"/>
          <w:szCs w:val="22"/>
        </w:rPr>
        <w:t xml:space="preserve"> </w:t>
      </w:r>
      <w:r>
        <w:rPr>
          <w:rFonts w:eastAsia="Calibri"/>
          <w:szCs w:val="22"/>
        </w:rPr>
        <w:t>quarterly</w:t>
      </w:r>
      <w:r w:rsidR="00F53876" w:rsidRPr="00B53364">
        <w:rPr>
          <w:rFonts w:eastAsia="Calibri"/>
          <w:szCs w:val="22"/>
        </w:rPr>
        <w:t xml:space="preserve">, </w:t>
      </w:r>
      <w:r w:rsidR="00F53876" w:rsidRPr="00B53364">
        <w:t>on the form available at: https://dph.illinois.gov/topics-services/health-care-regulation/hospitals.html</w:t>
      </w:r>
      <w:r>
        <w:rPr>
          <w:rFonts w:eastAsia="Calibri"/>
          <w:szCs w:val="22"/>
        </w:rPr>
        <w:t>:</w:t>
      </w:r>
    </w:p>
    <w:p w14:paraId="23C3A17B" w14:textId="77777777" w:rsidR="00BC1AF2" w:rsidRDefault="00BC1AF2" w:rsidP="002537C8">
      <w:pPr>
        <w:widowControl w:val="0"/>
        <w:autoSpaceDE w:val="0"/>
        <w:autoSpaceDN w:val="0"/>
        <w:adjustRightInd w:val="0"/>
        <w:rPr>
          <w:rFonts w:eastAsia="Calibri"/>
          <w:szCs w:val="22"/>
        </w:rPr>
      </w:pPr>
    </w:p>
    <w:p w14:paraId="2316A29C" w14:textId="4FBF461D" w:rsidR="00BC1AF2" w:rsidRDefault="00BC1AF2" w:rsidP="002537C8">
      <w:pPr>
        <w:widowControl w:val="0"/>
        <w:autoSpaceDE w:val="0"/>
        <w:autoSpaceDN w:val="0"/>
        <w:adjustRightInd w:val="0"/>
        <w:ind w:left="2160" w:hanging="720"/>
        <w:rPr>
          <w:rFonts w:eastAsia="Calibri"/>
          <w:szCs w:val="22"/>
        </w:rPr>
      </w:pPr>
      <w:r>
        <w:rPr>
          <w:rFonts w:eastAsia="Calibri"/>
          <w:szCs w:val="22"/>
        </w:rPr>
        <w:t>1)</w:t>
      </w:r>
      <w:r>
        <w:rPr>
          <w:rFonts w:eastAsia="Calibri"/>
          <w:szCs w:val="22"/>
        </w:rPr>
        <w:tab/>
        <w:t>The number of pediatric consultations provided; and</w:t>
      </w:r>
    </w:p>
    <w:p w14:paraId="3668F39E" w14:textId="77777777" w:rsidR="00BC1AF2" w:rsidRDefault="00BC1AF2" w:rsidP="002537C8">
      <w:pPr>
        <w:widowControl w:val="0"/>
        <w:autoSpaceDE w:val="0"/>
        <w:autoSpaceDN w:val="0"/>
        <w:adjustRightInd w:val="0"/>
        <w:rPr>
          <w:rFonts w:eastAsia="Calibri"/>
          <w:szCs w:val="22"/>
        </w:rPr>
      </w:pPr>
    </w:p>
    <w:p w14:paraId="7356D008" w14:textId="77F198BA" w:rsidR="00BC1AF2" w:rsidRDefault="00BC1AF2" w:rsidP="002537C8">
      <w:pPr>
        <w:widowControl w:val="0"/>
        <w:autoSpaceDE w:val="0"/>
        <w:autoSpaceDN w:val="0"/>
        <w:adjustRightInd w:val="0"/>
        <w:ind w:left="2160" w:hanging="720"/>
        <w:rPr>
          <w:rFonts w:eastAsia="Calibri"/>
          <w:szCs w:val="22"/>
        </w:rPr>
      </w:pPr>
      <w:r>
        <w:rPr>
          <w:rFonts w:eastAsia="Calibri"/>
          <w:szCs w:val="22"/>
        </w:rPr>
        <w:t>2)</w:t>
      </w:r>
      <w:r>
        <w:rPr>
          <w:rFonts w:eastAsia="Calibri"/>
          <w:szCs w:val="22"/>
        </w:rPr>
        <w:tab/>
        <w:t>The costs incurred for providing the pediatric consultations.</w:t>
      </w:r>
    </w:p>
    <w:p w14:paraId="6477C8BA" w14:textId="77777777" w:rsidR="00BC1AF2" w:rsidRDefault="00BC1AF2" w:rsidP="002537C8"/>
    <w:p w14:paraId="625C714B" w14:textId="719E26F1" w:rsidR="000174EB" w:rsidRPr="00093935" w:rsidRDefault="004D1113" w:rsidP="00DD7F59">
      <w:pPr>
        <w:ind w:left="720"/>
      </w:pPr>
      <w:r w:rsidRPr="00FD1AD2">
        <w:t>(Source:  Amended at 4</w:t>
      </w:r>
      <w:r w:rsidR="00AC65A3">
        <w:t>8</w:t>
      </w:r>
      <w:r w:rsidRPr="00FD1AD2">
        <w:t xml:space="preserve"> Ill. Reg. </w:t>
      </w:r>
      <w:r w:rsidR="002E5156">
        <w:t>450</w:t>
      </w:r>
      <w:r w:rsidRPr="00FD1AD2">
        <w:t xml:space="preserve">, effective </w:t>
      </w:r>
      <w:r w:rsidR="002E5156">
        <w:t>December 20, 2023</w:t>
      </w:r>
      <w:r w:rsidR="00F53876">
        <w:t xml:space="preserve">; expedited correction at 48 Ill. Reg. </w:t>
      </w:r>
      <w:r w:rsidR="00F53876">
        <w:t>5807</w:t>
      </w:r>
      <w:r w:rsidR="00F53876">
        <w:t>, effective December 20, 2023</w:t>
      </w:r>
      <w:r w:rsidRPr="00FD1AD2">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A761" w14:textId="77777777" w:rsidR="002B003A" w:rsidRDefault="002B003A">
      <w:r>
        <w:separator/>
      </w:r>
    </w:p>
  </w:endnote>
  <w:endnote w:type="continuationSeparator" w:id="0">
    <w:p w14:paraId="1C0EC5B8" w14:textId="77777777" w:rsidR="002B003A" w:rsidRDefault="002B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2F67" w14:textId="77777777" w:rsidR="002B003A" w:rsidRDefault="002B003A">
      <w:r>
        <w:separator/>
      </w:r>
    </w:p>
  </w:footnote>
  <w:footnote w:type="continuationSeparator" w:id="0">
    <w:p w14:paraId="5ED295A3" w14:textId="77777777" w:rsidR="002B003A" w:rsidRDefault="002B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0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15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6F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C1D"/>
    <w:rsid w:val="00246C8D"/>
    <w:rsid w:val="002524EC"/>
    <w:rsid w:val="002537C8"/>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03A"/>
    <w:rsid w:val="002B37C2"/>
    <w:rsid w:val="002B67C1"/>
    <w:rsid w:val="002B7812"/>
    <w:rsid w:val="002C11CA"/>
    <w:rsid w:val="002C5D80"/>
    <w:rsid w:val="002C75E4"/>
    <w:rsid w:val="002C7A9C"/>
    <w:rsid w:val="002D3C4D"/>
    <w:rsid w:val="002D3FBA"/>
    <w:rsid w:val="002D4BB0"/>
    <w:rsid w:val="002D7620"/>
    <w:rsid w:val="002E1CFB"/>
    <w:rsid w:val="002E515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28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9B3"/>
    <w:rsid w:val="00493C66"/>
    <w:rsid w:val="0049486A"/>
    <w:rsid w:val="004A2DF2"/>
    <w:rsid w:val="004A631A"/>
    <w:rsid w:val="004B0153"/>
    <w:rsid w:val="004B41BC"/>
    <w:rsid w:val="004B6FF4"/>
    <w:rsid w:val="004C445A"/>
    <w:rsid w:val="004D1113"/>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950"/>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8DA"/>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95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EFA"/>
    <w:rsid w:val="00921F8B"/>
    <w:rsid w:val="00922286"/>
    <w:rsid w:val="00931CDC"/>
    <w:rsid w:val="00934057"/>
    <w:rsid w:val="0093513C"/>
    <w:rsid w:val="00935A8C"/>
    <w:rsid w:val="00944E3D"/>
    <w:rsid w:val="00947AC3"/>
    <w:rsid w:val="00950386"/>
    <w:rsid w:val="0095187A"/>
    <w:rsid w:val="009602D3"/>
    <w:rsid w:val="00960C37"/>
    <w:rsid w:val="00961E38"/>
    <w:rsid w:val="00965A76"/>
    <w:rsid w:val="00966D51"/>
    <w:rsid w:val="0098276C"/>
    <w:rsid w:val="00983C53"/>
    <w:rsid w:val="00986F7E"/>
    <w:rsid w:val="00993FF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805"/>
    <w:rsid w:val="00A56934"/>
    <w:rsid w:val="00A600AA"/>
    <w:rsid w:val="00A61365"/>
    <w:rsid w:val="00A623FE"/>
    <w:rsid w:val="00A72534"/>
    <w:rsid w:val="00A75A0E"/>
    <w:rsid w:val="00A809C5"/>
    <w:rsid w:val="00A82D9A"/>
    <w:rsid w:val="00A86FF6"/>
    <w:rsid w:val="00A87EC5"/>
    <w:rsid w:val="00A91761"/>
    <w:rsid w:val="00A94967"/>
    <w:rsid w:val="00A95ED5"/>
    <w:rsid w:val="00A97CAE"/>
    <w:rsid w:val="00AA387B"/>
    <w:rsid w:val="00AA6F19"/>
    <w:rsid w:val="00AB12CF"/>
    <w:rsid w:val="00AB1466"/>
    <w:rsid w:val="00AC0DD5"/>
    <w:rsid w:val="00AC4914"/>
    <w:rsid w:val="00AC5578"/>
    <w:rsid w:val="00AC65A3"/>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AF2"/>
    <w:rsid w:val="00BD0ED2"/>
    <w:rsid w:val="00BD5933"/>
    <w:rsid w:val="00BE03CA"/>
    <w:rsid w:val="00BE40A3"/>
    <w:rsid w:val="00BE5CC9"/>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3CD"/>
    <w:rsid w:val="00D94587"/>
    <w:rsid w:val="00D97042"/>
    <w:rsid w:val="00D97549"/>
    <w:rsid w:val="00DA0ABE"/>
    <w:rsid w:val="00DA22A6"/>
    <w:rsid w:val="00DA3644"/>
    <w:rsid w:val="00DB295B"/>
    <w:rsid w:val="00DB2CC7"/>
    <w:rsid w:val="00DB78E4"/>
    <w:rsid w:val="00DC016D"/>
    <w:rsid w:val="00DC505C"/>
    <w:rsid w:val="00DC5FDC"/>
    <w:rsid w:val="00DC7214"/>
    <w:rsid w:val="00DD1A89"/>
    <w:rsid w:val="00DD3C9D"/>
    <w:rsid w:val="00DD7F5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78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87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D3987"/>
  <w15:chartTrackingRefBased/>
  <w15:docId w15:val="{D6BAF26A-AC9E-4940-8344-C8F79C71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F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84025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2023-12-14T21:14:00Z</dcterms:created>
  <dcterms:modified xsi:type="dcterms:W3CDTF">2024-04-12T13:56:00Z</dcterms:modified>
</cp:coreProperties>
</file>