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F4" w:rsidRDefault="007508F4" w:rsidP="007508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08F4" w:rsidRDefault="007508F4" w:rsidP="007508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270.2200  Personnel</w:t>
      </w:r>
      <w:r>
        <w:t xml:space="preserve"> </w:t>
      </w:r>
    </w:p>
    <w:p w:rsidR="007508F4" w:rsidRDefault="007508F4" w:rsidP="007508F4">
      <w:pPr>
        <w:widowControl w:val="0"/>
        <w:autoSpaceDE w:val="0"/>
        <w:autoSpaceDN w:val="0"/>
        <w:adjustRightInd w:val="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shall provide adequate, properly trained and supervised staff to meet each patient's comprehensive care plan.  Services shall be provided by a coordinated interdisciplinary team.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144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define, through job descriptions, minimum education and experience requirements for all staff, consultants and contract staff providing services to the </w:t>
      </w:r>
      <w:proofErr w:type="spellStart"/>
      <w:r>
        <w:t>subacute</w:t>
      </w:r>
      <w:proofErr w:type="spellEnd"/>
      <w:r>
        <w:t xml:space="preserve"> care hospital model.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144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shall provide routine, pertinent training to all staff.  This training may include return demonstration, one-on-one training, small group exercises or lecture.  All training shall be documented with: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216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Date;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216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Starting and ending time;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216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Instructors;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216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Short description of content; and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216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Participants' written and printed signatures.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144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Prior to employing any individual in a position that requires a State license, the licensee shall contact the Illinois Department of Professional Regulation to verify that the individual's license is active. A copy of the license shall be placed in the individual's personnel file. </w:t>
      </w:r>
    </w:p>
    <w:p w:rsidR="00101F07" w:rsidRDefault="00101F07" w:rsidP="007508F4">
      <w:pPr>
        <w:widowControl w:val="0"/>
        <w:autoSpaceDE w:val="0"/>
        <w:autoSpaceDN w:val="0"/>
        <w:adjustRightInd w:val="0"/>
        <w:ind w:left="144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shall check the status of all applicants with the Nurse Aide Registry prior to hiring. </w:t>
      </w: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</w:p>
    <w:p w:rsidR="007508F4" w:rsidRDefault="007508F4" w:rsidP="007508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11978, effective July 31, 2002) </w:t>
      </w:r>
    </w:p>
    <w:sectPr w:rsidR="007508F4" w:rsidSect="007508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8F4"/>
    <w:rsid w:val="00101F07"/>
    <w:rsid w:val="005C3366"/>
    <w:rsid w:val="007508F4"/>
    <w:rsid w:val="00990881"/>
    <w:rsid w:val="00AE6263"/>
    <w:rsid w:val="00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