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20" w:rsidRDefault="005D3B20" w:rsidP="005D3B20">
      <w:pPr>
        <w:rPr>
          <w:rFonts w:ascii="Times New Roman" w:hAnsi="Times New Roman"/>
          <w:b/>
          <w:sz w:val="24"/>
        </w:rPr>
      </w:pPr>
      <w:bookmarkStart w:id="0" w:name="_GoBack"/>
      <w:bookmarkEnd w:id="0"/>
    </w:p>
    <w:p w:rsidR="005D3B20" w:rsidRPr="008823B2" w:rsidRDefault="005D3B20" w:rsidP="005D3B20">
      <w:pPr>
        <w:rPr>
          <w:rFonts w:ascii="Times New Roman" w:hAnsi="Times New Roman"/>
          <w:sz w:val="24"/>
        </w:rPr>
      </w:pPr>
      <w:r w:rsidRPr="008823B2">
        <w:rPr>
          <w:rFonts w:ascii="Times New Roman" w:hAnsi="Times New Roman"/>
          <w:b/>
          <w:sz w:val="24"/>
        </w:rPr>
        <w:t>Section 340.1317</w:t>
      </w:r>
      <w:r w:rsidRPr="008823B2">
        <w:rPr>
          <w:rFonts w:ascii="Times New Roman" w:hAnsi="Times New Roman"/>
          <w:sz w:val="24"/>
        </w:rPr>
        <w:t xml:space="preserve">  </w:t>
      </w:r>
      <w:r w:rsidRPr="008823B2">
        <w:rPr>
          <w:rFonts w:ascii="Times New Roman" w:hAnsi="Times New Roman"/>
          <w:b/>
          <w:sz w:val="24"/>
        </w:rPr>
        <w:t>Transfer of an Identified Offender</w:t>
      </w:r>
    </w:p>
    <w:p w:rsidR="005D3B20" w:rsidRPr="008823B2" w:rsidRDefault="005D3B20" w:rsidP="005D3B20">
      <w:pPr>
        <w:rPr>
          <w:rFonts w:ascii="Times New Roman" w:hAnsi="Times New Roman"/>
          <w:sz w:val="24"/>
        </w:rPr>
      </w:pPr>
    </w:p>
    <w:p w:rsidR="00C02D42" w:rsidRPr="00C02D42" w:rsidRDefault="00C02D42" w:rsidP="00C02D42">
      <w:pPr>
        <w:ind w:left="1440" w:hanging="720"/>
        <w:rPr>
          <w:rFonts w:ascii="Times New Roman" w:hAnsi="Times New Roman"/>
          <w:color w:val="000000"/>
          <w:sz w:val="24"/>
        </w:rPr>
      </w:pPr>
      <w:r w:rsidRPr="00C02D42">
        <w:rPr>
          <w:rFonts w:ascii="Times New Roman" w:hAnsi="Times New Roman"/>
          <w:color w:val="000000"/>
          <w:sz w:val="24"/>
        </w:rPr>
        <w:t>a)</w:t>
      </w:r>
      <w:r>
        <w:rPr>
          <w:rFonts w:ascii="Times New Roman" w:hAnsi="Times New Roman"/>
          <w:color w:val="000000"/>
          <w:sz w:val="24"/>
        </w:rPr>
        <w:tab/>
      </w:r>
      <w:r w:rsidRPr="00C02D42">
        <w:rPr>
          <w:rFonts w:ascii="Times New Roman" w:hAnsi="Times New Roman"/>
          <w:i/>
          <w:color w:val="000000"/>
          <w:sz w:val="24"/>
        </w:rPr>
        <w:t>If, based on the</w:t>
      </w:r>
      <w:r w:rsidRPr="00C02D42">
        <w:rPr>
          <w:rFonts w:ascii="Times New Roman" w:hAnsi="Times New Roman"/>
          <w:color w:val="000000"/>
          <w:sz w:val="24"/>
        </w:rPr>
        <w:t xml:space="preserve"> security measures listed in the </w:t>
      </w:r>
      <w:r w:rsidR="00474161" w:rsidRPr="00474161">
        <w:rPr>
          <w:rFonts w:ascii="Times New Roman" w:hAnsi="Times New Roman"/>
          <w:i/>
          <w:color w:val="000000"/>
          <w:sz w:val="24"/>
        </w:rPr>
        <w:t>Identified Offender Report and Recommendation</w:t>
      </w:r>
      <w:r w:rsidRPr="00C02D42">
        <w:rPr>
          <w:rFonts w:ascii="Times New Roman" w:hAnsi="Times New Roman"/>
          <w:i/>
          <w:color w:val="000000"/>
          <w:sz w:val="24"/>
        </w:rPr>
        <w:t xml:space="preserve">, a facility determines that it cannot manage the identified offender resident safely within the facility, it shall commence involuntary transfer or discharge proceedings pursuant to Section 3-402 </w:t>
      </w:r>
      <w:r w:rsidRPr="00C02D42">
        <w:rPr>
          <w:rFonts w:ascii="Times New Roman" w:hAnsi="Times New Roman"/>
          <w:color w:val="000000"/>
          <w:sz w:val="24"/>
        </w:rPr>
        <w:t>of the Act and Section 340.1470 of this Part. (Section 2-201.6(g) of the Act)</w:t>
      </w:r>
    </w:p>
    <w:p w:rsidR="00C02D42" w:rsidRPr="00C02D42" w:rsidRDefault="00C02D42" w:rsidP="005D3B20">
      <w:pPr>
        <w:ind w:left="1440" w:hanging="720"/>
        <w:rPr>
          <w:rFonts w:ascii="Times New Roman" w:hAnsi="Times New Roman"/>
          <w:sz w:val="24"/>
        </w:rPr>
      </w:pPr>
    </w:p>
    <w:p w:rsidR="005D3B20" w:rsidRPr="008823B2" w:rsidRDefault="00C02D42" w:rsidP="005D3B20">
      <w:pPr>
        <w:ind w:left="1440" w:hanging="720"/>
        <w:rPr>
          <w:rFonts w:ascii="Times New Roman" w:hAnsi="Times New Roman"/>
          <w:sz w:val="24"/>
        </w:rPr>
      </w:pPr>
      <w:r>
        <w:rPr>
          <w:rFonts w:ascii="Times New Roman" w:hAnsi="Times New Roman"/>
          <w:sz w:val="24"/>
        </w:rPr>
        <w:t>b)</w:t>
      </w:r>
      <w:r w:rsidR="005D3B20">
        <w:rPr>
          <w:rFonts w:ascii="Times New Roman" w:hAnsi="Times New Roman"/>
          <w:sz w:val="24"/>
        </w:rPr>
        <w:tab/>
      </w:r>
      <w:r w:rsidR="005D3B20" w:rsidRPr="008823B2">
        <w:rPr>
          <w:rFonts w:ascii="Times New Roman" w:hAnsi="Times New Roman"/>
          <w:sz w:val="24"/>
        </w:rPr>
        <w:t xml:space="preserve">All discharges and transfers shall be </w:t>
      </w:r>
      <w:r w:rsidR="00474161">
        <w:rPr>
          <w:rFonts w:ascii="Times New Roman" w:hAnsi="Times New Roman"/>
          <w:sz w:val="24"/>
        </w:rPr>
        <w:t>pursuant to</w:t>
      </w:r>
      <w:r w:rsidR="005D3B20" w:rsidRPr="008823B2">
        <w:rPr>
          <w:rFonts w:ascii="Times New Roman" w:hAnsi="Times New Roman"/>
          <w:sz w:val="24"/>
        </w:rPr>
        <w:t xml:space="preserve"> Section 340.1470 of this Part.</w:t>
      </w:r>
    </w:p>
    <w:p w:rsidR="005D3B20" w:rsidRPr="008823B2" w:rsidRDefault="005D3B20" w:rsidP="005D3B20">
      <w:pPr>
        <w:rPr>
          <w:rFonts w:ascii="Times New Roman" w:hAnsi="Times New Roman"/>
          <w:sz w:val="24"/>
        </w:rPr>
      </w:pPr>
    </w:p>
    <w:p w:rsidR="005D3B20" w:rsidRPr="008823B2" w:rsidRDefault="00C02D42" w:rsidP="005D3B20">
      <w:pPr>
        <w:ind w:left="1440" w:hanging="720"/>
        <w:rPr>
          <w:rFonts w:ascii="Times New Roman" w:hAnsi="Times New Roman"/>
          <w:sz w:val="24"/>
        </w:rPr>
      </w:pPr>
      <w:r>
        <w:rPr>
          <w:rFonts w:ascii="Times New Roman" w:hAnsi="Times New Roman"/>
          <w:sz w:val="24"/>
        </w:rPr>
        <w:t>c)</w:t>
      </w:r>
      <w:r w:rsidR="005D3B20">
        <w:rPr>
          <w:rFonts w:ascii="Times New Roman" w:hAnsi="Times New Roman"/>
          <w:sz w:val="24"/>
        </w:rPr>
        <w:tab/>
      </w:r>
      <w:r w:rsidR="005D3B20" w:rsidRPr="008823B2">
        <w:rPr>
          <w:rFonts w:ascii="Times New Roman" w:hAnsi="Times New Roman"/>
          <w:sz w:val="24"/>
        </w:rPr>
        <w:t>When a resident who is an identified offender is transferred to another facility regulated by the Department, the Department of Healthcare and Family Services, or the Department of Human Services, the transferring facility must notify the Department and the receiving facility that the individual is an identified offender before making the transfer.</w:t>
      </w:r>
    </w:p>
    <w:p w:rsidR="005D3B20" w:rsidRPr="008823B2" w:rsidRDefault="005D3B20" w:rsidP="005D3B20">
      <w:pPr>
        <w:ind w:left="720" w:hanging="720"/>
        <w:rPr>
          <w:rFonts w:ascii="Times New Roman" w:hAnsi="Times New Roman"/>
          <w:sz w:val="24"/>
        </w:rPr>
      </w:pPr>
    </w:p>
    <w:p w:rsidR="005D3B20" w:rsidRPr="008823B2" w:rsidRDefault="00C02D42" w:rsidP="005D3B20">
      <w:pPr>
        <w:ind w:left="1440" w:hanging="720"/>
        <w:rPr>
          <w:rFonts w:ascii="Times New Roman" w:hAnsi="Times New Roman"/>
          <w:sz w:val="24"/>
        </w:rPr>
      </w:pPr>
      <w:r>
        <w:rPr>
          <w:rFonts w:ascii="Times New Roman" w:hAnsi="Times New Roman"/>
          <w:sz w:val="24"/>
        </w:rPr>
        <w:t>d)</w:t>
      </w:r>
      <w:r w:rsidR="005D3B20">
        <w:rPr>
          <w:rFonts w:ascii="Times New Roman" w:hAnsi="Times New Roman"/>
          <w:sz w:val="24"/>
        </w:rPr>
        <w:tab/>
      </w:r>
      <w:r w:rsidR="005D3B20" w:rsidRPr="008823B2">
        <w:rPr>
          <w:rFonts w:ascii="Times New Roman" w:hAnsi="Times New Roman"/>
          <w:sz w:val="24"/>
        </w:rPr>
        <w:t xml:space="preserve">This notification </w:t>
      </w:r>
      <w:r w:rsidR="00474161">
        <w:rPr>
          <w:rFonts w:ascii="Times New Roman" w:hAnsi="Times New Roman"/>
          <w:sz w:val="24"/>
        </w:rPr>
        <w:t>shall</w:t>
      </w:r>
      <w:r w:rsidR="005D3B20" w:rsidRPr="008823B2">
        <w:rPr>
          <w:rFonts w:ascii="Times New Roman" w:hAnsi="Times New Roman"/>
          <w:sz w:val="24"/>
        </w:rPr>
        <w:t xml:space="preserve"> include all of the documentation required under Section 340.1315 of this Part</w:t>
      </w:r>
      <w:r>
        <w:rPr>
          <w:rFonts w:ascii="Times New Roman" w:hAnsi="Times New Roman"/>
          <w:sz w:val="24"/>
        </w:rPr>
        <w:t xml:space="preserve"> and subsection (a) of this Section</w:t>
      </w:r>
      <w:r w:rsidR="005D3B20" w:rsidRPr="008823B2">
        <w:rPr>
          <w:rFonts w:ascii="Times New Roman" w:hAnsi="Times New Roman"/>
          <w:sz w:val="24"/>
        </w:rPr>
        <w:t xml:space="preserve">, and the transferring facility </w:t>
      </w:r>
      <w:r w:rsidR="00474161">
        <w:rPr>
          <w:rFonts w:ascii="Times New Roman" w:hAnsi="Times New Roman"/>
          <w:sz w:val="24"/>
        </w:rPr>
        <w:t>shall</w:t>
      </w:r>
      <w:r w:rsidR="005D3B20" w:rsidRPr="008823B2">
        <w:rPr>
          <w:rFonts w:ascii="Times New Roman" w:hAnsi="Times New Roman"/>
          <w:sz w:val="24"/>
        </w:rPr>
        <w:t xml:space="preserve"> provide this information to the receiving facility to complete the discharge planning. </w:t>
      </w:r>
    </w:p>
    <w:p w:rsidR="005D3B20" w:rsidRPr="008823B2" w:rsidRDefault="005D3B20" w:rsidP="005D3B20">
      <w:pPr>
        <w:ind w:left="720" w:hanging="720"/>
        <w:rPr>
          <w:rFonts w:ascii="Times New Roman" w:hAnsi="Times New Roman"/>
          <w:sz w:val="24"/>
        </w:rPr>
      </w:pPr>
    </w:p>
    <w:p w:rsidR="005D3B20" w:rsidRPr="008823B2" w:rsidRDefault="00C02D42" w:rsidP="005D3B20">
      <w:pPr>
        <w:ind w:left="1440" w:hanging="720"/>
        <w:rPr>
          <w:rFonts w:ascii="Times New Roman" w:hAnsi="Times New Roman"/>
          <w:sz w:val="24"/>
        </w:rPr>
      </w:pPr>
      <w:r>
        <w:rPr>
          <w:rFonts w:ascii="Times New Roman" w:hAnsi="Times New Roman"/>
          <w:sz w:val="24"/>
        </w:rPr>
        <w:t>e)</w:t>
      </w:r>
      <w:r w:rsidR="005D3B20">
        <w:rPr>
          <w:rFonts w:ascii="Times New Roman" w:hAnsi="Times New Roman"/>
          <w:sz w:val="24"/>
        </w:rPr>
        <w:tab/>
      </w:r>
      <w:r w:rsidR="005D3B20" w:rsidRPr="008823B2">
        <w:rPr>
          <w:rFonts w:ascii="Times New Roman" w:hAnsi="Times New Roman"/>
          <w:sz w:val="24"/>
        </w:rPr>
        <w:t xml:space="preserve">If the following information has been provided to the transferring facility from the Department of </w:t>
      </w:r>
      <w:r w:rsidR="00AA5DE2">
        <w:rPr>
          <w:rFonts w:ascii="Times New Roman" w:hAnsi="Times New Roman"/>
          <w:sz w:val="24"/>
        </w:rPr>
        <w:t>C</w:t>
      </w:r>
      <w:r w:rsidR="005D3B20" w:rsidRPr="008823B2">
        <w:rPr>
          <w:rFonts w:ascii="Times New Roman" w:hAnsi="Times New Roman"/>
          <w:sz w:val="24"/>
        </w:rPr>
        <w:t>orrections, the transferring facility shall provide copies to the receiving facility before making the transfer:</w:t>
      </w:r>
    </w:p>
    <w:p w:rsidR="005D3B20" w:rsidRPr="008823B2" w:rsidRDefault="005D3B20" w:rsidP="005D3B20">
      <w:pPr>
        <w:rPr>
          <w:rFonts w:ascii="Times New Roman" w:hAnsi="Times New Roman"/>
          <w:sz w:val="24"/>
        </w:rPr>
      </w:pPr>
    </w:p>
    <w:p w:rsidR="005D3B20" w:rsidRPr="008823B2" w:rsidRDefault="005D3B20" w:rsidP="005D3B20">
      <w:pPr>
        <w:ind w:left="720" w:firstLine="720"/>
        <w:rPr>
          <w:rFonts w:ascii="Times New Roman" w:hAnsi="Times New Roman"/>
          <w:sz w:val="24"/>
        </w:rPr>
      </w:pPr>
      <w:r w:rsidRPr="008823B2">
        <w:rPr>
          <w:rFonts w:ascii="Times New Roman" w:hAnsi="Times New Roman"/>
          <w:sz w:val="24"/>
        </w:rPr>
        <w:t>1)</w:t>
      </w:r>
      <w:r>
        <w:rPr>
          <w:rFonts w:ascii="Times New Roman" w:hAnsi="Times New Roman"/>
          <w:sz w:val="24"/>
        </w:rPr>
        <w:tab/>
      </w:r>
      <w:r w:rsidRPr="008823B2">
        <w:rPr>
          <w:rFonts w:ascii="Times New Roman" w:hAnsi="Times New Roman"/>
          <w:i/>
          <w:sz w:val="24"/>
        </w:rPr>
        <w:t>The mittimus and any pre-sentence investigation reports</w:t>
      </w:r>
      <w:r w:rsidRPr="008823B2">
        <w:rPr>
          <w:rFonts w:ascii="Times New Roman" w:hAnsi="Times New Roman"/>
          <w:sz w:val="24"/>
        </w:rPr>
        <w:t>;</w:t>
      </w:r>
    </w:p>
    <w:p w:rsidR="005D3B20" w:rsidRPr="008823B2" w:rsidRDefault="005D3B20" w:rsidP="005D3B20">
      <w:pPr>
        <w:rPr>
          <w:rFonts w:ascii="Times New Roman" w:hAnsi="Times New Roman"/>
          <w:sz w:val="24"/>
        </w:rPr>
      </w:pPr>
    </w:p>
    <w:p w:rsidR="005D3B20" w:rsidRPr="008823B2" w:rsidRDefault="005D3B20" w:rsidP="005D3B20">
      <w:pPr>
        <w:ind w:left="2160" w:hanging="720"/>
        <w:rPr>
          <w:rFonts w:ascii="Times New Roman" w:hAnsi="Times New Roman"/>
          <w:sz w:val="24"/>
        </w:rPr>
      </w:pPr>
      <w:r w:rsidRPr="008823B2">
        <w:rPr>
          <w:rFonts w:ascii="Times New Roman" w:hAnsi="Times New Roman"/>
          <w:sz w:val="24"/>
        </w:rPr>
        <w:t>2)</w:t>
      </w:r>
      <w:r>
        <w:rPr>
          <w:rFonts w:ascii="Times New Roman" w:hAnsi="Times New Roman"/>
          <w:sz w:val="24"/>
        </w:rPr>
        <w:tab/>
      </w:r>
      <w:r w:rsidRPr="008823B2">
        <w:rPr>
          <w:rFonts w:ascii="Times New Roman" w:hAnsi="Times New Roman"/>
          <w:i/>
          <w:sz w:val="24"/>
        </w:rPr>
        <w:t>The social evaluation prepared pursuant to Section 3-8-2</w:t>
      </w:r>
      <w:r w:rsidRPr="008823B2">
        <w:rPr>
          <w:rFonts w:ascii="Times New Roman" w:hAnsi="Times New Roman"/>
          <w:sz w:val="24"/>
        </w:rPr>
        <w:t xml:space="preserve"> of the Unified Code of Corrections;</w:t>
      </w:r>
    </w:p>
    <w:p w:rsidR="005D3B20" w:rsidRPr="008823B2" w:rsidRDefault="005D3B20" w:rsidP="005D3B20">
      <w:pPr>
        <w:rPr>
          <w:rFonts w:ascii="Times New Roman" w:hAnsi="Times New Roman"/>
          <w:sz w:val="24"/>
        </w:rPr>
      </w:pPr>
    </w:p>
    <w:p w:rsidR="005D3B20" w:rsidRPr="008823B2" w:rsidRDefault="005D3B20" w:rsidP="005D3B20">
      <w:pPr>
        <w:ind w:left="2160" w:hanging="720"/>
        <w:rPr>
          <w:rFonts w:ascii="Times New Roman" w:hAnsi="Times New Roman"/>
          <w:sz w:val="24"/>
        </w:rPr>
      </w:pPr>
      <w:r w:rsidRPr="008823B2">
        <w:rPr>
          <w:rFonts w:ascii="Times New Roman" w:hAnsi="Times New Roman"/>
          <w:sz w:val="24"/>
        </w:rPr>
        <w:t>3)</w:t>
      </w:r>
      <w:r>
        <w:rPr>
          <w:rFonts w:ascii="Times New Roman" w:hAnsi="Times New Roman"/>
          <w:sz w:val="24"/>
        </w:rPr>
        <w:tab/>
      </w:r>
      <w:r w:rsidRPr="008823B2">
        <w:rPr>
          <w:rFonts w:ascii="Times New Roman" w:hAnsi="Times New Roman"/>
          <w:i/>
          <w:sz w:val="24"/>
        </w:rPr>
        <w:t>Any pre-release evaluation conducted pursuant to subsection (j) of Section 3-6-2</w:t>
      </w:r>
      <w:r w:rsidRPr="008823B2">
        <w:rPr>
          <w:rFonts w:ascii="Times New Roman" w:hAnsi="Times New Roman"/>
          <w:sz w:val="24"/>
        </w:rPr>
        <w:t xml:space="preserve"> of the Unified Code of Corrections;</w:t>
      </w:r>
    </w:p>
    <w:p w:rsidR="005D3B20" w:rsidRPr="008823B2" w:rsidRDefault="005D3B20" w:rsidP="005D3B20">
      <w:pPr>
        <w:ind w:left="720" w:hanging="720"/>
        <w:rPr>
          <w:rFonts w:ascii="Times New Roman" w:hAnsi="Times New Roman"/>
          <w:sz w:val="24"/>
        </w:rPr>
      </w:pPr>
    </w:p>
    <w:p w:rsidR="005D3B20" w:rsidRPr="008823B2" w:rsidRDefault="005D3B20" w:rsidP="005D3B20">
      <w:pPr>
        <w:ind w:left="1440"/>
        <w:rPr>
          <w:rFonts w:ascii="Times New Roman" w:hAnsi="Times New Roman"/>
          <w:sz w:val="24"/>
        </w:rPr>
      </w:pPr>
      <w:r w:rsidRPr="008823B2">
        <w:rPr>
          <w:rFonts w:ascii="Times New Roman" w:hAnsi="Times New Roman"/>
          <w:sz w:val="24"/>
        </w:rPr>
        <w:t>4)</w:t>
      </w:r>
      <w:r>
        <w:rPr>
          <w:rFonts w:ascii="Times New Roman" w:hAnsi="Times New Roman"/>
          <w:sz w:val="24"/>
        </w:rPr>
        <w:tab/>
      </w:r>
      <w:r w:rsidRPr="008823B2">
        <w:rPr>
          <w:rFonts w:ascii="Times New Roman" w:hAnsi="Times New Roman"/>
          <w:i/>
          <w:sz w:val="24"/>
        </w:rPr>
        <w:t>Reports of disciplinary infractions and dispositions</w:t>
      </w:r>
      <w:r w:rsidRPr="008823B2">
        <w:rPr>
          <w:rFonts w:ascii="Times New Roman" w:hAnsi="Times New Roman"/>
          <w:sz w:val="24"/>
        </w:rPr>
        <w:t>;</w:t>
      </w:r>
    </w:p>
    <w:p w:rsidR="005D3B20" w:rsidRPr="008823B2" w:rsidRDefault="005D3B20" w:rsidP="005D3B20">
      <w:pPr>
        <w:ind w:left="720" w:hanging="720"/>
        <w:rPr>
          <w:rFonts w:ascii="Times New Roman" w:hAnsi="Times New Roman"/>
          <w:sz w:val="24"/>
        </w:rPr>
      </w:pPr>
    </w:p>
    <w:p w:rsidR="005D3B20" w:rsidRPr="008823B2" w:rsidRDefault="005D3B20" w:rsidP="005D3B20">
      <w:pPr>
        <w:ind w:left="2160" w:hanging="720"/>
        <w:rPr>
          <w:rFonts w:ascii="Times New Roman" w:hAnsi="Times New Roman"/>
          <w:sz w:val="24"/>
        </w:rPr>
      </w:pPr>
      <w:r w:rsidRPr="008823B2">
        <w:rPr>
          <w:rFonts w:ascii="Times New Roman" w:hAnsi="Times New Roman"/>
          <w:sz w:val="24"/>
        </w:rPr>
        <w:t>5)</w:t>
      </w:r>
      <w:r>
        <w:rPr>
          <w:rFonts w:ascii="Times New Roman" w:hAnsi="Times New Roman"/>
          <w:sz w:val="24"/>
        </w:rPr>
        <w:tab/>
      </w:r>
      <w:r w:rsidRPr="008823B2">
        <w:rPr>
          <w:rFonts w:ascii="Times New Roman" w:hAnsi="Times New Roman"/>
          <w:i/>
          <w:sz w:val="24"/>
        </w:rPr>
        <w:t xml:space="preserve">Any parole plan, including orders issued by the </w:t>
      </w:r>
      <w:smartTag w:uri="urn:schemas-microsoft-com:office:smarttags" w:element="place">
        <w:smartTag w:uri="urn:schemas-microsoft-com:office:smarttags" w:element="State">
          <w:r w:rsidRPr="008823B2">
            <w:rPr>
              <w:rFonts w:ascii="Times New Roman" w:hAnsi="Times New Roman"/>
              <w:i/>
              <w:sz w:val="24"/>
            </w:rPr>
            <w:t>Illinois</w:t>
          </w:r>
        </w:smartTag>
      </w:smartTag>
      <w:r w:rsidRPr="008823B2">
        <w:rPr>
          <w:rFonts w:ascii="Times New Roman" w:hAnsi="Times New Roman"/>
          <w:i/>
          <w:sz w:val="24"/>
        </w:rPr>
        <w:t xml:space="preserve"> Prisoner Review Board and any violation reports and dispositions</w:t>
      </w:r>
      <w:r w:rsidRPr="008823B2">
        <w:rPr>
          <w:rFonts w:ascii="Times New Roman" w:hAnsi="Times New Roman"/>
          <w:sz w:val="24"/>
        </w:rPr>
        <w:t>; and</w:t>
      </w:r>
    </w:p>
    <w:p w:rsidR="005D3B20" w:rsidRPr="008823B2" w:rsidRDefault="005D3B20" w:rsidP="005D3B20">
      <w:pPr>
        <w:ind w:left="720" w:hanging="720"/>
        <w:rPr>
          <w:rFonts w:ascii="Times New Roman" w:hAnsi="Times New Roman"/>
          <w:sz w:val="24"/>
        </w:rPr>
      </w:pPr>
    </w:p>
    <w:p w:rsidR="005D3B20" w:rsidRPr="008823B2" w:rsidRDefault="005D3B20" w:rsidP="005D3B20">
      <w:pPr>
        <w:ind w:left="2160" w:hanging="720"/>
        <w:rPr>
          <w:rFonts w:ascii="Times New Roman" w:hAnsi="Times New Roman"/>
          <w:sz w:val="24"/>
        </w:rPr>
      </w:pPr>
      <w:r w:rsidRPr="008823B2">
        <w:rPr>
          <w:rFonts w:ascii="Times New Roman" w:hAnsi="Times New Roman"/>
          <w:sz w:val="24"/>
        </w:rPr>
        <w:t>6)</w:t>
      </w:r>
      <w:r>
        <w:rPr>
          <w:rFonts w:ascii="Times New Roman" w:hAnsi="Times New Roman"/>
          <w:sz w:val="24"/>
        </w:rPr>
        <w:tab/>
      </w:r>
      <w:r w:rsidRPr="008823B2">
        <w:rPr>
          <w:rFonts w:ascii="Times New Roman" w:hAnsi="Times New Roman"/>
          <w:i/>
          <w:sz w:val="24"/>
        </w:rPr>
        <w:t>The name and contact information for the assigned parole agent and parole supervisor</w:t>
      </w:r>
      <w:r w:rsidRPr="008823B2">
        <w:rPr>
          <w:rFonts w:ascii="Times New Roman" w:hAnsi="Times New Roman"/>
          <w:sz w:val="24"/>
        </w:rPr>
        <w:t xml:space="preserve">. (Section </w:t>
      </w:r>
      <w:smartTag w:uri="urn:schemas-microsoft-com:office:smarttags" w:element="date">
        <w:smartTagPr>
          <w:attr w:name="Year" w:val="2001"/>
          <w:attr w:name="Day" w:val="14"/>
          <w:attr w:name="Month" w:val="3"/>
        </w:smartTagPr>
        <w:r w:rsidRPr="008823B2">
          <w:rPr>
            <w:rFonts w:ascii="Times New Roman" w:hAnsi="Times New Roman"/>
            <w:sz w:val="24"/>
          </w:rPr>
          <w:t>3-14-1</w:t>
        </w:r>
      </w:smartTag>
      <w:r w:rsidRPr="008823B2">
        <w:rPr>
          <w:rFonts w:ascii="Times New Roman" w:hAnsi="Times New Roman"/>
          <w:sz w:val="24"/>
        </w:rPr>
        <w:t xml:space="preserve"> of the Unified Code of Corrections)</w:t>
      </w:r>
    </w:p>
    <w:p w:rsidR="005D3B20" w:rsidRPr="008823B2" w:rsidRDefault="005D3B20" w:rsidP="005D3B20">
      <w:pPr>
        <w:ind w:left="720" w:hanging="720"/>
        <w:rPr>
          <w:rFonts w:ascii="Times New Roman" w:hAnsi="Times New Roman"/>
          <w:sz w:val="24"/>
        </w:rPr>
      </w:pPr>
    </w:p>
    <w:p w:rsidR="005D3B20" w:rsidRPr="008823B2" w:rsidRDefault="00C02D42" w:rsidP="005D3B20">
      <w:pPr>
        <w:ind w:left="1440" w:hanging="720"/>
        <w:rPr>
          <w:rFonts w:ascii="Times New Roman" w:hAnsi="Times New Roman"/>
          <w:color w:val="000000"/>
          <w:sz w:val="24"/>
        </w:rPr>
      </w:pPr>
      <w:r>
        <w:rPr>
          <w:rFonts w:ascii="Times New Roman" w:hAnsi="Times New Roman"/>
          <w:sz w:val="24"/>
        </w:rPr>
        <w:t>f)</w:t>
      </w:r>
      <w:r w:rsidR="005D3B20">
        <w:rPr>
          <w:rFonts w:ascii="Times New Roman" w:hAnsi="Times New Roman"/>
          <w:sz w:val="24"/>
        </w:rPr>
        <w:tab/>
      </w:r>
      <w:r w:rsidR="005D3B20" w:rsidRPr="008823B2">
        <w:rPr>
          <w:rFonts w:ascii="Times New Roman" w:hAnsi="Times New Roman"/>
          <w:color w:val="000000"/>
          <w:sz w:val="24"/>
        </w:rPr>
        <w:t xml:space="preserve">The information  required by this Section shall be provided upon transfer.   </w:t>
      </w:r>
      <w:r w:rsidR="00DD65A7">
        <w:rPr>
          <w:rFonts w:ascii="Times New Roman" w:hAnsi="Times New Roman"/>
          <w:color w:val="000000"/>
          <w:sz w:val="24"/>
        </w:rPr>
        <w:t>Information compi</w:t>
      </w:r>
      <w:r w:rsidR="007E279F">
        <w:rPr>
          <w:rFonts w:ascii="Times New Roman" w:hAnsi="Times New Roman"/>
          <w:color w:val="000000"/>
          <w:sz w:val="24"/>
        </w:rPr>
        <w:t>l</w:t>
      </w:r>
      <w:r w:rsidR="00DD65A7">
        <w:rPr>
          <w:rFonts w:ascii="Times New Roman" w:hAnsi="Times New Roman"/>
          <w:color w:val="000000"/>
          <w:sz w:val="24"/>
        </w:rPr>
        <w:t xml:space="preserve">ed concerning an identified offender </w:t>
      </w:r>
      <w:r w:rsidR="00474161">
        <w:rPr>
          <w:rFonts w:ascii="Times New Roman" w:hAnsi="Times New Roman"/>
          <w:color w:val="000000"/>
          <w:sz w:val="24"/>
        </w:rPr>
        <w:t>shall</w:t>
      </w:r>
      <w:r w:rsidR="00DD65A7">
        <w:rPr>
          <w:rFonts w:ascii="Times New Roman" w:hAnsi="Times New Roman"/>
          <w:color w:val="000000"/>
          <w:sz w:val="24"/>
        </w:rPr>
        <w:t xml:space="preserve"> not be further disseminated except to the resident; the resident's legal representative; law enforcement agencies; the resident's parole or probation officer; the Division of </w:t>
      </w:r>
      <w:r w:rsidR="00DD65A7">
        <w:rPr>
          <w:rFonts w:ascii="Times New Roman" w:hAnsi="Times New Roman"/>
          <w:color w:val="000000"/>
          <w:sz w:val="24"/>
        </w:rPr>
        <w:lastRenderedPageBreak/>
        <w:t>Long Term Care Field Operations in the Department's Office of Health Care Regulation; other facilities licensed by the Department, the Illinois Department of Healthcare and Family Services, or the Illinois</w:t>
      </w:r>
      <w:r w:rsidR="00D64F49">
        <w:rPr>
          <w:rFonts w:ascii="Times New Roman" w:hAnsi="Times New Roman"/>
          <w:color w:val="000000"/>
          <w:sz w:val="24"/>
        </w:rPr>
        <w:t xml:space="preserve"> Department of</w:t>
      </w:r>
      <w:r w:rsidR="00DD65A7">
        <w:rPr>
          <w:rFonts w:ascii="Times New Roman" w:hAnsi="Times New Roman"/>
          <w:color w:val="000000"/>
          <w:sz w:val="24"/>
        </w:rPr>
        <w:t xml:space="preserve"> Human Services that are or will be providing care to the resident, or are considering whether to do so; health care and social service providers licensed by the Illinois Department of Financial and Professional Regulation who are or will be providing care to the resident, or are considering whether to do so; health care facilities and providers in other states that are licensed and/or regulated in their home state and would be authorized to receive this information if they were in Illinois.</w:t>
      </w:r>
    </w:p>
    <w:p w:rsidR="00EB424E" w:rsidRPr="005D3B20" w:rsidRDefault="00EB424E" w:rsidP="00935A8C">
      <w:pPr>
        <w:rPr>
          <w:rFonts w:ascii="Times New Roman" w:hAnsi="Times New Roman"/>
          <w:sz w:val="24"/>
        </w:rPr>
      </w:pPr>
    </w:p>
    <w:p w:rsidR="00474161" w:rsidRPr="00474161" w:rsidRDefault="00474161">
      <w:pPr>
        <w:pStyle w:val="JCARSourceNote"/>
        <w:ind w:left="720"/>
        <w:rPr>
          <w:rFonts w:ascii="Times New Roman" w:hAnsi="Times New Roman"/>
          <w:sz w:val="24"/>
        </w:rPr>
      </w:pPr>
      <w:r w:rsidRPr="00474161">
        <w:rPr>
          <w:rFonts w:ascii="Times New Roman" w:hAnsi="Times New Roman"/>
          <w:sz w:val="24"/>
        </w:rPr>
        <w:t>(Source:  Amended at 3</w:t>
      </w:r>
      <w:r>
        <w:rPr>
          <w:rFonts w:ascii="Times New Roman" w:hAnsi="Times New Roman"/>
          <w:sz w:val="24"/>
        </w:rPr>
        <w:t>5</w:t>
      </w:r>
      <w:r w:rsidRPr="00474161">
        <w:rPr>
          <w:rFonts w:ascii="Times New Roman" w:hAnsi="Times New Roman"/>
          <w:sz w:val="24"/>
        </w:rPr>
        <w:t xml:space="preserve"> Ill. Reg. </w:t>
      </w:r>
      <w:r w:rsidR="00C342D2">
        <w:rPr>
          <w:rFonts w:ascii="Times New Roman" w:hAnsi="Times New Roman"/>
          <w:sz w:val="24"/>
        </w:rPr>
        <w:t>11896</w:t>
      </w:r>
      <w:r w:rsidRPr="00474161">
        <w:rPr>
          <w:rFonts w:ascii="Times New Roman" w:hAnsi="Times New Roman"/>
          <w:sz w:val="24"/>
        </w:rPr>
        <w:t xml:space="preserve">, effective </w:t>
      </w:r>
      <w:r w:rsidR="00C342D2">
        <w:rPr>
          <w:rFonts w:ascii="Times New Roman" w:hAnsi="Times New Roman"/>
          <w:sz w:val="24"/>
        </w:rPr>
        <w:t>June 29, 2011</w:t>
      </w:r>
      <w:r w:rsidRPr="00474161">
        <w:rPr>
          <w:rFonts w:ascii="Times New Roman" w:hAnsi="Times New Roman"/>
          <w:sz w:val="24"/>
        </w:rPr>
        <w:t>)</w:t>
      </w:r>
    </w:p>
    <w:sectPr w:rsidR="00474161" w:rsidRPr="0047416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42" w:rsidRDefault="00CA7F42">
      <w:r>
        <w:separator/>
      </w:r>
    </w:p>
  </w:endnote>
  <w:endnote w:type="continuationSeparator" w:id="0">
    <w:p w:rsidR="00CA7F42" w:rsidRDefault="00CA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42" w:rsidRDefault="00CA7F42">
      <w:r>
        <w:separator/>
      </w:r>
    </w:p>
  </w:footnote>
  <w:footnote w:type="continuationSeparator" w:id="0">
    <w:p w:rsidR="00CA7F42" w:rsidRDefault="00CA7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2DD1"/>
    <w:rsid w:val="000F7BD4"/>
    <w:rsid w:val="00136B47"/>
    <w:rsid w:val="00150267"/>
    <w:rsid w:val="001C7D95"/>
    <w:rsid w:val="001E3074"/>
    <w:rsid w:val="00225354"/>
    <w:rsid w:val="002524EC"/>
    <w:rsid w:val="002A643F"/>
    <w:rsid w:val="00337CEB"/>
    <w:rsid w:val="00367A2E"/>
    <w:rsid w:val="003A7B14"/>
    <w:rsid w:val="003F3A28"/>
    <w:rsid w:val="003F5FD7"/>
    <w:rsid w:val="00431CFE"/>
    <w:rsid w:val="004461A1"/>
    <w:rsid w:val="00474161"/>
    <w:rsid w:val="004D02E7"/>
    <w:rsid w:val="004D5CD6"/>
    <w:rsid w:val="004D73D3"/>
    <w:rsid w:val="005001C5"/>
    <w:rsid w:val="0052308E"/>
    <w:rsid w:val="00530BE1"/>
    <w:rsid w:val="00542E97"/>
    <w:rsid w:val="0056157E"/>
    <w:rsid w:val="0056501E"/>
    <w:rsid w:val="005743D9"/>
    <w:rsid w:val="005D3B20"/>
    <w:rsid w:val="005F4571"/>
    <w:rsid w:val="00635CB7"/>
    <w:rsid w:val="006A2114"/>
    <w:rsid w:val="006D5961"/>
    <w:rsid w:val="00780733"/>
    <w:rsid w:val="007B1944"/>
    <w:rsid w:val="007C14B2"/>
    <w:rsid w:val="007E279F"/>
    <w:rsid w:val="00801D20"/>
    <w:rsid w:val="00825C45"/>
    <w:rsid w:val="008271B1"/>
    <w:rsid w:val="00837F88"/>
    <w:rsid w:val="0084781C"/>
    <w:rsid w:val="008B4361"/>
    <w:rsid w:val="008D4EA0"/>
    <w:rsid w:val="00935A8C"/>
    <w:rsid w:val="0098276C"/>
    <w:rsid w:val="009B1FBA"/>
    <w:rsid w:val="009C4011"/>
    <w:rsid w:val="009C4FD4"/>
    <w:rsid w:val="00A174BB"/>
    <w:rsid w:val="00A2265D"/>
    <w:rsid w:val="00A414BC"/>
    <w:rsid w:val="00A600AA"/>
    <w:rsid w:val="00A62F7E"/>
    <w:rsid w:val="00A771B4"/>
    <w:rsid w:val="00AA5DE2"/>
    <w:rsid w:val="00AB29C6"/>
    <w:rsid w:val="00AD41FF"/>
    <w:rsid w:val="00AE120A"/>
    <w:rsid w:val="00AE1744"/>
    <w:rsid w:val="00AE5547"/>
    <w:rsid w:val="00B07E7E"/>
    <w:rsid w:val="00B31598"/>
    <w:rsid w:val="00B35D67"/>
    <w:rsid w:val="00B516F7"/>
    <w:rsid w:val="00B66925"/>
    <w:rsid w:val="00B71177"/>
    <w:rsid w:val="00B876EC"/>
    <w:rsid w:val="00BE291A"/>
    <w:rsid w:val="00BF4D66"/>
    <w:rsid w:val="00BF5EF1"/>
    <w:rsid w:val="00C02D42"/>
    <w:rsid w:val="00C342D2"/>
    <w:rsid w:val="00C4537A"/>
    <w:rsid w:val="00C77B8F"/>
    <w:rsid w:val="00CA7F42"/>
    <w:rsid w:val="00CB5ACA"/>
    <w:rsid w:val="00CC13F9"/>
    <w:rsid w:val="00CD3723"/>
    <w:rsid w:val="00D55B37"/>
    <w:rsid w:val="00D62188"/>
    <w:rsid w:val="00D64F49"/>
    <w:rsid w:val="00D735B8"/>
    <w:rsid w:val="00D863E1"/>
    <w:rsid w:val="00D93C67"/>
    <w:rsid w:val="00DD65A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B2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B2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