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AF" w:rsidRDefault="002F38AF" w:rsidP="002F38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38AF" w:rsidRDefault="002F38AF" w:rsidP="002F38AF">
      <w:pPr>
        <w:widowControl w:val="0"/>
        <w:autoSpaceDE w:val="0"/>
        <w:autoSpaceDN w:val="0"/>
        <w:adjustRightInd w:val="0"/>
      </w:pPr>
      <w:r>
        <w:t xml:space="preserve">SOURCE:  Adopted at 17 Ill. Reg. 21807, effective December 1, 1993; amended at 26 Ill. Reg. 11990, effective July 31, 2002. </w:t>
      </w:r>
    </w:p>
    <w:sectPr w:rsidR="002F38AF" w:rsidSect="002F38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38AF"/>
    <w:rsid w:val="0015245E"/>
    <w:rsid w:val="001E5405"/>
    <w:rsid w:val="002F38AF"/>
    <w:rsid w:val="005C3366"/>
    <w:rsid w:val="00D22DAA"/>
    <w:rsid w:val="00FB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17 Ill</vt:lpstr>
    </vt:vector>
  </TitlesOfParts>
  <Company>General Assembly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17 Ill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