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D5C6" w14:textId="77777777" w:rsidR="00EC5451" w:rsidRPr="00FB7493" w:rsidRDefault="00EC5451" w:rsidP="00EC5451">
      <w:pPr>
        <w:widowControl w:val="0"/>
        <w:autoSpaceDE w:val="0"/>
        <w:autoSpaceDN w:val="0"/>
        <w:adjustRightInd w:val="0"/>
      </w:pPr>
    </w:p>
    <w:p w14:paraId="7F50075C" w14:textId="04F20433" w:rsidR="00EC5451" w:rsidRPr="00FB7493" w:rsidRDefault="00EC5451" w:rsidP="00EC5451">
      <w:pPr>
        <w:widowControl w:val="0"/>
        <w:autoSpaceDE w:val="0"/>
        <w:autoSpaceDN w:val="0"/>
        <w:adjustRightInd w:val="0"/>
      </w:pPr>
      <w:r w:rsidRPr="00FB7493">
        <w:rPr>
          <w:b/>
          <w:bCs/>
        </w:rPr>
        <w:t xml:space="preserve">Section 465.400  Quality </w:t>
      </w:r>
      <w:r w:rsidR="00175543">
        <w:rPr>
          <w:b/>
          <w:bCs/>
        </w:rPr>
        <w:t>Assurance</w:t>
      </w:r>
      <w:r w:rsidRPr="00FB7493">
        <w:rPr>
          <w:b/>
          <w:bCs/>
        </w:rPr>
        <w:t xml:space="preserve"> for Media, Equipment and Supplies</w:t>
      </w:r>
      <w:r w:rsidRPr="00FB7493">
        <w:t xml:space="preserve"> </w:t>
      </w:r>
    </w:p>
    <w:p w14:paraId="3C374CFB" w14:textId="77777777" w:rsidR="00EC5451" w:rsidRPr="00FB7493" w:rsidRDefault="00EC5451" w:rsidP="00EC5451">
      <w:pPr>
        <w:widowControl w:val="0"/>
        <w:autoSpaceDE w:val="0"/>
        <w:autoSpaceDN w:val="0"/>
        <w:adjustRightInd w:val="0"/>
      </w:pPr>
    </w:p>
    <w:p w14:paraId="30911D10" w14:textId="5397CBED" w:rsidR="001E22F0" w:rsidRPr="00FB7493" w:rsidRDefault="001E22F0" w:rsidP="001E22F0">
      <w:pPr>
        <w:widowControl w:val="0"/>
        <w:autoSpaceDE w:val="0"/>
        <w:autoSpaceDN w:val="0"/>
        <w:adjustRightInd w:val="0"/>
      </w:pPr>
      <w:r w:rsidRPr="00FB7493">
        <w:t xml:space="preserve">The following minimum requirements shall apply to quality </w:t>
      </w:r>
      <w:r w:rsidR="00175543">
        <w:t>assurance</w:t>
      </w:r>
      <w:r w:rsidRPr="00FB7493">
        <w:t xml:space="preserve"> checks of laboratory media, equipment, and supplies: </w:t>
      </w:r>
    </w:p>
    <w:p w14:paraId="4A14CD86" w14:textId="77777777" w:rsidR="00176424" w:rsidRPr="00FB7493" w:rsidRDefault="00176424" w:rsidP="001E22F0">
      <w:pPr>
        <w:widowControl w:val="0"/>
        <w:autoSpaceDE w:val="0"/>
        <w:autoSpaceDN w:val="0"/>
        <w:adjustRightInd w:val="0"/>
      </w:pPr>
    </w:p>
    <w:p w14:paraId="1B1D57F0" w14:textId="3D0BAF6B" w:rsidR="001E22F0" w:rsidRPr="00FB7493" w:rsidRDefault="001E22F0" w:rsidP="001E22F0">
      <w:pPr>
        <w:widowControl w:val="0"/>
        <w:autoSpaceDE w:val="0"/>
        <w:autoSpaceDN w:val="0"/>
        <w:adjustRightInd w:val="0"/>
        <w:ind w:left="1440" w:hanging="720"/>
      </w:pPr>
      <w:r w:rsidRPr="00FB7493">
        <w:t>a)</w:t>
      </w:r>
      <w:r w:rsidRPr="00FB7493">
        <w:tab/>
        <w:t xml:space="preserve">The pH </w:t>
      </w:r>
      <w:r w:rsidR="00222B5B" w:rsidRPr="00FB7493">
        <w:t>meter or meters</w:t>
      </w:r>
      <w:r w:rsidRPr="00FB7493">
        <w:t xml:space="preserve"> shall be </w:t>
      </w:r>
      <w:r w:rsidR="00D21694" w:rsidRPr="00FB7493">
        <w:t>standardized before each use period with pH 7.0 and either pH 4.0 or pH 10.0 standard buffers</w:t>
      </w:r>
      <w:r w:rsidR="000D6BD2" w:rsidRPr="00FB7493">
        <w:t>,</w:t>
      </w:r>
      <w:r w:rsidR="00D21694" w:rsidRPr="00FB7493">
        <w:t xml:space="preserve"> which</w:t>
      </w:r>
      <w:r w:rsidR="00222B5B" w:rsidRPr="00FB7493">
        <w:t>ever</w:t>
      </w:r>
      <w:r w:rsidR="00D21694" w:rsidRPr="00FB7493">
        <w:t xml:space="preserve"> range covers the desired pH of the media or reagent. A record of the standardization, including the percent slope, shall be maintained.</w:t>
      </w:r>
      <w:r w:rsidRPr="00FB7493">
        <w:t xml:space="preserve"> Percent slope shall be 95 to </w:t>
      </w:r>
      <w:r w:rsidR="00D21694" w:rsidRPr="00FB7493">
        <w:t>105</w:t>
      </w:r>
      <w:r w:rsidRPr="00FB7493">
        <w:t>%.</w:t>
      </w:r>
      <w:r w:rsidR="00D21694" w:rsidRPr="00FB7493">
        <w:t xml:space="preserve"> </w:t>
      </w:r>
      <w:r w:rsidRPr="00FB7493">
        <w:t>Each buffer aliquot shall be used only once. Commercial buffer solutions shall be dated</w:t>
      </w:r>
      <w:r w:rsidR="009C3C30" w:rsidRPr="00FB7493">
        <w:t xml:space="preserve"> and shall not be used</w:t>
      </w:r>
      <w:r w:rsidRPr="00FB7493">
        <w:t xml:space="preserve"> past the expiration date. </w:t>
      </w:r>
      <w:r w:rsidR="009C3C30" w:rsidRPr="00FB7493">
        <w:t>Electrodes shall be maintained</w:t>
      </w:r>
      <w:r w:rsidRPr="00FB7493">
        <w:t xml:space="preserve"> according to manufacturer's recommendations. </w:t>
      </w:r>
    </w:p>
    <w:p w14:paraId="4FC345E3" w14:textId="77777777" w:rsidR="00176424" w:rsidRPr="00FB7493" w:rsidRDefault="00176424" w:rsidP="00E51D96"/>
    <w:p w14:paraId="115CFC0B" w14:textId="77777777" w:rsidR="001E22F0" w:rsidRPr="00FB7493" w:rsidRDefault="001E22F0" w:rsidP="001E22F0">
      <w:pPr>
        <w:widowControl w:val="0"/>
        <w:autoSpaceDE w:val="0"/>
        <w:autoSpaceDN w:val="0"/>
        <w:adjustRightInd w:val="0"/>
        <w:ind w:left="1440" w:hanging="720"/>
      </w:pPr>
      <w:r w:rsidRPr="00FB7493">
        <w:t>b)</w:t>
      </w:r>
      <w:r w:rsidRPr="00FB7493">
        <w:tab/>
        <w:t xml:space="preserve">Balances shall be calibrated monthly using NIST standardized </w:t>
      </w:r>
      <w:r w:rsidR="009C3C30" w:rsidRPr="00FB7493">
        <w:t>Echelon I or II</w:t>
      </w:r>
      <w:r w:rsidRPr="00FB7493">
        <w:t xml:space="preserve">, or equivalent ASTM 1, 2, or 3 weights. A minimum of </w:t>
      </w:r>
      <w:r w:rsidR="00D21694" w:rsidRPr="00FB7493">
        <w:t>three</w:t>
      </w:r>
      <w:r w:rsidRPr="00FB7493">
        <w:t xml:space="preserve"> weights </w:t>
      </w:r>
      <w:r w:rsidR="00D21694" w:rsidRPr="00FB7493">
        <w:t>that</w:t>
      </w:r>
      <w:r w:rsidRPr="00FB7493">
        <w:t xml:space="preserve"> bracket the weighing requirements of the laboratory shall be used</w:t>
      </w:r>
      <w:r w:rsidR="00D21694" w:rsidRPr="00FB7493">
        <w:t>,</w:t>
      </w:r>
      <w:r w:rsidRPr="00FB7493">
        <w:t xml:space="preserve"> and these weights shall be recertified every </w:t>
      </w:r>
      <w:r w:rsidR="00D21694" w:rsidRPr="00FB7493">
        <w:t>five</w:t>
      </w:r>
      <w:r w:rsidRPr="00FB7493">
        <w:t xml:space="preserve"> years. </w:t>
      </w:r>
      <w:r w:rsidR="009C3C30" w:rsidRPr="00FB7493">
        <w:t xml:space="preserve">A certificate shall accompany the weights.  </w:t>
      </w:r>
      <w:r w:rsidRPr="00FB7493">
        <w:t xml:space="preserve">A certificate </w:t>
      </w:r>
      <w:r w:rsidR="009C3C30" w:rsidRPr="00FB7493">
        <w:t>shall state either that the weights are compliant with the requirements of ASTM E1617-13 class 1, 2 or 3 tolerances or that they are compliant with the NIST Handbook 150-2G. The certificate shall list corrective data.</w:t>
      </w:r>
      <w:r w:rsidRPr="00FB7493">
        <w:t xml:space="preserve"> Electronic balances shall be calibrated annually by a qualified service representative who is not affiliated with the laboratory. A certificate of calibration from the service representative </w:t>
      </w:r>
      <w:r w:rsidR="00D21694" w:rsidRPr="00FB7493">
        <w:t>shall</w:t>
      </w:r>
      <w:r w:rsidRPr="00FB7493">
        <w:t xml:space="preserve"> be available for inspection. </w:t>
      </w:r>
    </w:p>
    <w:p w14:paraId="373DFF06" w14:textId="77777777" w:rsidR="00176424" w:rsidRPr="00FB7493" w:rsidRDefault="00176424" w:rsidP="00E51D96"/>
    <w:p w14:paraId="606D5887" w14:textId="5DB4173C" w:rsidR="00D21694" w:rsidRPr="00FB7493" w:rsidRDefault="001E22F0" w:rsidP="001E22F0">
      <w:pPr>
        <w:widowControl w:val="0"/>
        <w:autoSpaceDE w:val="0"/>
        <w:autoSpaceDN w:val="0"/>
        <w:adjustRightInd w:val="0"/>
        <w:ind w:left="1440" w:hanging="720"/>
      </w:pPr>
      <w:r w:rsidRPr="00FB7493">
        <w:t>c)</w:t>
      </w:r>
      <w:r w:rsidRPr="00FB7493">
        <w:tab/>
      </w:r>
      <w:r w:rsidR="00D21694" w:rsidRPr="00FB7493">
        <w:t>Glass and electronic thermometers and temperature-recording devices</w:t>
      </w:r>
      <w:r w:rsidR="009C3C30" w:rsidRPr="00FB7493">
        <w:t xml:space="preserve"> including data loggers</w:t>
      </w:r>
      <w:r w:rsidR="00D21694" w:rsidRPr="00FB7493">
        <w:t xml:space="preserve"> shall be calibrated annually at temperature of use against an NIST certified thermometer to within ± 1.0°</w:t>
      </w:r>
      <w:r w:rsidR="000D6BD2" w:rsidRPr="00FB7493">
        <w:t xml:space="preserve"> </w:t>
      </w:r>
      <w:r w:rsidR="00D21694" w:rsidRPr="00FB7493">
        <w:t xml:space="preserve">C. </w:t>
      </w:r>
      <w:r w:rsidR="009C3C30" w:rsidRPr="00FB7493">
        <w:t xml:space="preserve">Mercury </w:t>
      </w:r>
      <w:r w:rsidR="00D21694" w:rsidRPr="00FB7493">
        <w:t xml:space="preserve">NIST-certified thermometers shall be checked at the ice point annually and recalibrated at least every five years at each temperature of use. </w:t>
      </w:r>
      <w:r w:rsidR="009C3C30" w:rsidRPr="00FB7493">
        <w:t xml:space="preserve">Digital NIST-certified thermometers shall be checked at the ice point annually and recalibrated at least every five years to demonstrate linearity. </w:t>
      </w:r>
      <w:r w:rsidR="00175543" w:rsidRPr="00A84CFE">
        <w:t>If datalogger or autoclave digital temperature record is used, datalogger or autoclave digital temperature record shall be calibrated annually by a qualified service representative who is not affiliated with the laboratory. A certificate of calibration from the service representative shall be available for inspection.</w:t>
      </w:r>
      <w:r w:rsidR="00175543">
        <w:t xml:space="preserve">  </w:t>
      </w:r>
      <w:r w:rsidR="009C3C30" w:rsidRPr="00FB7493">
        <w:t xml:space="preserve">Digital thermometer probe and meter shall be calibrated as a unit.  </w:t>
      </w:r>
      <w:r w:rsidR="00D21694" w:rsidRPr="00FB7493">
        <w:t>The calibration factor, date calibrated, temperature of calibration, and analyst</w:t>
      </w:r>
      <w:r w:rsidR="00222B5B" w:rsidRPr="00FB7493">
        <w:t>'</w:t>
      </w:r>
      <w:r w:rsidR="00D21694" w:rsidRPr="00FB7493">
        <w:t xml:space="preserve">s initials shall be tagged on each thermometer.  In addition, the laboratory shall record the following information in a Quality </w:t>
      </w:r>
      <w:r w:rsidR="00175543">
        <w:t xml:space="preserve">Assurance </w:t>
      </w:r>
      <w:r w:rsidR="00175543" w:rsidRPr="009C737F">
        <w:t>(QA)</w:t>
      </w:r>
      <w:r w:rsidR="00D21694" w:rsidRPr="00FB7493">
        <w:t xml:space="preserve"> record book:</w:t>
      </w:r>
    </w:p>
    <w:p w14:paraId="5DEA1A98" w14:textId="77777777" w:rsidR="00D21694" w:rsidRPr="00FB7493" w:rsidRDefault="00D21694" w:rsidP="00E51D96"/>
    <w:p w14:paraId="790B141B" w14:textId="77777777" w:rsidR="00D21694" w:rsidRPr="00FB7493" w:rsidRDefault="00D21694" w:rsidP="00D21694">
      <w:pPr>
        <w:ind w:left="1440"/>
      </w:pPr>
      <w:r w:rsidRPr="00FB7493">
        <w:t>1)</w:t>
      </w:r>
      <w:r w:rsidRPr="00FB7493">
        <w:tab/>
        <w:t>Serial number or unique identifier of laboratory thermometer;</w:t>
      </w:r>
    </w:p>
    <w:p w14:paraId="390F3650" w14:textId="77777777" w:rsidR="00D21694" w:rsidRPr="00FB7493" w:rsidRDefault="00D21694" w:rsidP="00E51D96"/>
    <w:p w14:paraId="17A36120" w14:textId="77777777" w:rsidR="00D21694" w:rsidRPr="00FB7493" w:rsidRDefault="00D21694" w:rsidP="00D21694">
      <w:pPr>
        <w:ind w:left="1440"/>
      </w:pPr>
      <w:r w:rsidRPr="00FB7493">
        <w:t>2)</w:t>
      </w:r>
      <w:r w:rsidRPr="00FB7493">
        <w:tab/>
        <w:t>Serial number of NIST-traceable thermometer;</w:t>
      </w:r>
    </w:p>
    <w:p w14:paraId="71D1B5BB" w14:textId="77777777" w:rsidR="00D21694" w:rsidRPr="00FB7493" w:rsidRDefault="00D21694" w:rsidP="00E51D96"/>
    <w:p w14:paraId="1535AE1D" w14:textId="77777777" w:rsidR="00D21694" w:rsidRPr="00FB7493" w:rsidRDefault="00D21694" w:rsidP="00D21694">
      <w:pPr>
        <w:ind w:left="1440"/>
      </w:pPr>
      <w:r w:rsidRPr="00FB7493">
        <w:t>3)</w:t>
      </w:r>
      <w:r w:rsidRPr="00FB7493">
        <w:tab/>
        <w:t>Temperature of laboratory thermometer;</w:t>
      </w:r>
    </w:p>
    <w:p w14:paraId="476546A8" w14:textId="77777777" w:rsidR="00D21694" w:rsidRPr="00FB7493" w:rsidRDefault="00D21694" w:rsidP="00E51D96"/>
    <w:p w14:paraId="135476BF" w14:textId="77777777" w:rsidR="00D21694" w:rsidRPr="00FB7493" w:rsidRDefault="00D21694" w:rsidP="00D21694">
      <w:pPr>
        <w:ind w:left="1440"/>
      </w:pPr>
      <w:r w:rsidRPr="00FB7493">
        <w:lastRenderedPageBreak/>
        <w:t>4)</w:t>
      </w:r>
      <w:r w:rsidRPr="00FB7493">
        <w:tab/>
        <w:t>Temperature of NIST-traceable thermometer;</w:t>
      </w:r>
    </w:p>
    <w:p w14:paraId="2A5C3D74" w14:textId="77777777" w:rsidR="00D21694" w:rsidRPr="00FB7493" w:rsidRDefault="00D21694" w:rsidP="00E51D96"/>
    <w:p w14:paraId="2FAE4A3B" w14:textId="77777777" w:rsidR="00D21694" w:rsidRPr="00FB7493" w:rsidRDefault="00D21694" w:rsidP="00D21694">
      <w:pPr>
        <w:ind w:left="1440"/>
      </w:pPr>
      <w:r w:rsidRPr="00FB7493">
        <w:t>5)</w:t>
      </w:r>
      <w:r w:rsidRPr="00FB7493">
        <w:tab/>
        <w:t>Correction (or calibration) factor;</w:t>
      </w:r>
    </w:p>
    <w:p w14:paraId="4C629106" w14:textId="77777777" w:rsidR="00D21694" w:rsidRPr="00FB7493" w:rsidRDefault="00D21694" w:rsidP="00E51D96"/>
    <w:p w14:paraId="7C6279FA" w14:textId="77777777" w:rsidR="00D21694" w:rsidRPr="00FB7493" w:rsidRDefault="00D21694" w:rsidP="00D21694">
      <w:pPr>
        <w:ind w:left="1440"/>
      </w:pPr>
      <w:r w:rsidRPr="00FB7493">
        <w:t>6)</w:t>
      </w:r>
      <w:r w:rsidRPr="00FB7493">
        <w:tab/>
        <w:t>Date of calibration; and</w:t>
      </w:r>
    </w:p>
    <w:p w14:paraId="68EE741D" w14:textId="77777777" w:rsidR="00D21694" w:rsidRPr="00FB7493" w:rsidRDefault="00D21694" w:rsidP="00E51D96"/>
    <w:p w14:paraId="1EE965F6" w14:textId="77777777" w:rsidR="00D21694" w:rsidRPr="00FB7493" w:rsidRDefault="00D21694" w:rsidP="00D21694">
      <w:pPr>
        <w:ind w:left="1440"/>
      </w:pPr>
      <w:r w:rsidRPr="00FB7493">
        <w:t>7)</w:t>
      </w:r>
      <w:r w:rsidRPr="00FB7493">
        <w:tab/>
        <w:t>Analyst</w:t>
      </w:r>
      <w:r w:rsidR="00222B5B" w:rsidRPr="00FB7493">
        <w:t>'</w:t>
      </w:r>
      <w:r w:rsidRPr="00FB7493">
        <w:t>s initials.</w:t>
      </w:r>
    </w:p>
    <w:p w14:paraId="7AF957A5" w14:textId="77777777" w:rsidR="00176424" w:rsidRPr="00FB7493" w:rsidRDefault="00176424" w:rsidP="00E51D96"/>
    <w:p w14:paraId="4AA44782" w14:textId="1A7DA9E2" w:rsidR="001E22F0" w:rsidRPr="00FB7493" w:rsidRDefault="001E22F0" w:rsidP="001E22F0">
      <w:pPr>
        <w:widowControl w:val="0"/>
        <w:autoSpaceDE w:val="0"/>
        <w:autoSpaceDN w:val="0"/>
        <w:adjustRightInd w:val="0"/>
        <w:ind w:left="1440" w:hanging="720"/>
      </w:pPr>
      <w:r w:rsidRPr="00FB7493">
        <w:t>d)</w:t>
      </w:r>
      <w:r w:rsidRPr="00FB7493">
        <w:tab/>
        <w:t>Temperature in incubation equipment shall be recorded continuously by a temperature</w:t>
      </w:r>
      <w:r w:rsidR="00D21694" w:rsidRPr="00FB7493">
        <w:t>-</w:t>
      </w:r>
      <w:r w:rsidRPr="00FB7493">
        <w:t xml:space="preserve">recording device or recorded twice daily (at times separated by at least </w:t>
      </w:r>
      <w:r w:rsidR="00D21694" w:rsidRPr="00FB7493">
        <w:t>four</w:t>
      </w:r>
      <w:r w:rsidRPr="00FB7493">
        <w:t xml:space="preserve"> hours) from in-place thermometers immersed in liquid </w:t>
      </w:r>
      <w:r w:rsidR="00175543" w:rsidRPr="009C737F">
        <w:t>unless otherwise specified by the manufacturer of a temperature monitoring system</w:t>
      </w:r>
      <w:r w:rsidR="00175543" w:rsidRPr="00FB7493">
        <w:t xml:space="preserve"> </w:t>
      </w:r>
      <w:r w:rsidRPr="00FB7493">
        <w:t xml:space="preserve">and placed on the top and bottom shelves of the use area.  </w:t>
      </w:r>
      <w:r w:rsidR="00D21694" w:rsidRPr="00FB7493">
        <w:t xml:space="preserve">Documentation shall include the date and time of reading, temperature (as determined using the correction factor of the thermometer in use), and analyst's initials. </w:t>
      </w:r>
      <w:r w:rsidRPr="00FB7493">
        <w:t xml:space="preserve">Temperature readings from walk-in incubators with a continuous temperature reading device shall be supplemented by readings from in-place thermometers placed on various shelves other than where the recorder probe is located. </w:t>
      </w:r>
    </w:p>
    <w:p w14:paraId="1B5815BA" w14:textId="77777777" w:rsidR="00176424" w:rsidRPr="00FB7493" w:rsidRDefault="00176424" w:rsidP="00E51D96"/>
    <w:p w14:paraId="1D464FB2" w14:textId="77777777" w:rsidR="001E22F0" w:rsidRPr="00FB7493" w:rsidRDefault="001E22F0" w:rsidP="001E22F0">
      <w:pPr>
        <w:widowControl w:val="0"/>
        <w:autoSpaceDE w:val="0"/>
        <w:autoSpaceDN w:val="0"/>
        <w:adjustRightInd w:val="0"/>
        <w:ind w:left="1440" w:hanging="720"/>
      </w:pPr>
      <w:r w:rsidRPr="00FB7493">
        <w:t>e)</w:t>
      </w:r>
      <w:r w:rsidRPr="00FB7493">
        <w:tab/>
      </w:r>
      <w:r w:rsidR="00D21694" w:rsidRPr="00FB7493">
        <w:t>Date, contents, sterilization time and temperature, total time in autoclave, and analyst's initials shall be recorded each time the autoclave is used.</w:t>
      </w:r>
      <w:r w:rsidRPr="00FB7493">
        <w:t xml:space="preserve"> Charts, if used, are to accompany written records. </w:t>
      </w:r>
    </w:p>
    <w:p w14:paraId="2D6C3250" w14:textId="77777777" w:rsidR="00176424" w:rsidRPr="00FB7493" w:rsidRDefault="00176424" w:rsidP="00E51D96"/>
    <w:p w14:paraId="2AD2E7F4" w14:textId="77777777" w:rsidR="001E22F0" w:rsidRPr="00FB7493" w:rsidRDefault="001E22F0" w:rsidP="001E22F0">
      <w:pPr>
        <w:widowControl w:val="0"/>
        <w:autoSpaceDE w:val="0"/>
        <w:autoSpaceDN w:val="0"/>
        <w:adjustRightInd w:val="0"/>
        <w:ind w:left="1440" w:hanging="720"/>
      </w:pPr>
      <w:r w:rsidRPr="00FB7493">
        <w:t>f)</w:t>
      </w:r>
      <w:r w:rsidRPr="00FB7493">
        <w:tab/>
        <w:t xml:space="preserve">Hot air </w:t>
      </w:r>
      <w:r w:rsidR="00D21694" w:rsidRPr="00FB7493">
        <w:t>ovens</w:t>
      </w:r>
      <w:r w:rsidRPr="00FB7493">
        <w:t xml:space="preserve"> shall be equipped with a thermometer registering up to at least 180º C, or with a temperature</w:t>
      </w:r>
      <w:r w:rsidR="00222B5B" w:rsidRPr="00FB7493">
        <w:t>-</w:t>
      </w:r>
      <w:r w:rsidRPr="00FB7493">
        <w:t xml:space="preserve">recording device. The oven thermometer shall be graduated in 10º C increments or less, with the bulb placed in sand during use. </w:t>
      </w:r>
      <w:r w:rsidR="00D21694" w:rsidRPr="00FB7493">
        <w:t>Date, contents, sterilization time and temperature, total time in oven, and analyst</w:t>
      </w:r>
      <w:r w:rsidR="00222B5B" w:rsidRPr="00FB7493">
        <w:t>'</w:t>
      </w:r>
      <w:r w:rsidR="00D21694" w:rsidRPr="00FB7493">
        <w:t>s initials shall be recorded each time the hot air oven is used.</w:t>
      </w:r>
    </w:p>
    <w:p w14:paraId="78193AA7" w14:textId="77777777" w:rsidR="00176424" w:rsidRPr="00FB7493" w:rsidRDefault="00176424" w:rsidP="00E51D96"/>
    <w:p w14:paraId="7AEC0FA7" w14:textId="60EC4D75" w:rsidR="001E22F0" w:rsidRPr="00FB7493" w:rsidRDefault="001E22F0" w:rsidP="001E22F0">
      <w:pPr>
        <w:widowControl w:val="0"/>
        <w:autoSpaceDE w:val="0"/>
        <w:autoSpaceDN w:val="0"/>
        <w:adjustRightInd w:val="0"/>
        <w:ind w:left="1440" w:hanging="720"/>
      </w:pPr>
      <w:r w:rsidRPr="00FB7493">
        <w:t>g)</w:t>
      </w:r>
      <w:r w:rsidRPr="00FB7493">
        <w:tab/>
        <w:t xml:space="preserve">Only membrane filters recommended for water analysis by the manufacturer shall be </w:t>
      </w:r>
      <w:r w:rsidR="009C3C30" w:rsidRPr="00FB7493">
        <w:t>used</w:t>
      </w:r>
      <w:r w:rsidRPr="00FB7493">
        <w:t>. Manufacturer data sheets containing information as to lot number, ink toxicity</w:t>
      </w:r>
      <w:r w:rsidR="00175543">
        <w:t xml:space="preserve"> </w:t>
      </w:r>
      <w:r w:rsidR="00175543" w:rsidRPr="009C737F">
        <w:t>(gridline inhibition)</w:t>
      </w:r>
      <w:r w:rsidRPr="00FB7493">
        <w:t>, recovery, retention, and absence of growth</w:t>
      </w:r>
      <w:r w:rsidR="00D21694" w:rsidRPr="00FB7493">
        <w:t>-</w:t>
      </w:r>
      <w:r w:rsidRPr="00FB7493">
        <w:t>promoting substances for membrane filters shall be entered into the laboratory's record system. The lot numbers of membrane filters and date received shall be recorded.</w:t>
      </w:r>
      <w:r w:rsidR="009C3C30" w:rsidRPr="00FB7493">
        <w:t xml:space="preserve"> Membrane filters shall not be brittle or distorted, and the manufacturer's specification/certification sheet shall be available. Positive control shall be run on each new lot of membrane filters. Any gridline inhibition shall be recorded as unacceptable. Unacceptable membranes shall </w:t>
      </w:r>
      <w:r w:rsidR="00175543">
        <w:t xml:space="preserve">not </w:t>
      </w:r>
      <w:r w:rsidR="009C3C30" w:rsidRPr="00FB7493">
        <w:t xml:space="preserve">be </w:t>
      </w:r>
      <w:r w:rsidR="00175543">
        <w:t>used</w:t>
      </w:r>
      <w:r w:rsidR="009C3C30" w:rsidRPr="00FB7493">
        <w:t>.</w:t>
      </w:r>
    </w:p>
    <w:p w14:paraId="4D216497" w14:textId="77777777" w:rsidR="00176424" w:rsidRPr="00FB7493" w:rsidRDefault="00176424" w:rsidP="00E51D96"/>
    <w:p w14:paraId="151CD67D" w14:textId="64647A96" w:rsidR="001E22F0" w:rsidRPr="00FB7493" w:rsidRDefault="001E22F0" w:rsidP="001E22F0">
      <w:pPr>
        <w:widowControl w:val="0"/>
        <w:autoSpaceDE w:val="0"/>
        <w:autoSpaceDN w:val="0"/>
        <w:adjustRightInd w:val="0"/>
        <w:ind w:left="1440" w:hanging="720"/>
      </w:pPr>
      <w:r w:rsidRPr="00FB7493">
        <w:t>h)</w:t>
      </w:r>
      <w:r w:rsidRPr="00FB7493">
        <w:tab/>
        <w:t xml:space="preserve">Washing processes shall provide clean glassware with no stains or spotting.  </w:t>
      </w:r>
      <w:r w:rsidR="009C3C30" w:rsidRPr="00FB7493">
        <w:t>Distilled</w:t>
      </w:r>
      <w:r w:rsidRPr="00FB7493">
        <w:t xml:space="preserve"> or deionized water </w:t>
      </w:r>
      <w:r w:rsidR="009C3C30" w:rsidRPr="00FB7493">
        <w:t xml:space="preserve">shall be used </w:t>
      </w:r>
      <w:r w:rsidRPr="00FB7493">
        <w:t xml:space="preserve">for final rinse.  </w:t>
      </w:r>
      <w:r w:rsidR="00D21694" w:rsidRPr="00FB7493">
        <w:t>Laboratory glassware shall be washed with a detergent designed for laboratory use. A glassware inhibitory residue test (Standard Methods, Section 9020B, under Laboratory Supplies) shall be performed, and acceptable results obtained, before the initial use of a detergent and whenever a different formulation or washing procedure is used. Results shall be recorded</w:t>
      </w:r>
      <w:r w:rsidR="00175543" w:rsidRPr="00447EAE">
        <w:t xml:space="preserve"> and maintained until specific formulation of </w:t>
      </w:r>
      <w:r w:rsidR="00175543" w:rsidRPr="00447EAE">
        <w:lastRenderedPageBreak/>
        <w:t>detergent is no longer in use</w:t>
      </w:r>
      <w:r w:rsidR="00D21694" w:rsidRPr="00FB7493">
        <w:t>.</w:t>
      </w:r>
      <w:r w:rsidR="00D21694" w:rsidRPr="00FB7493" w:rsidDel="00D21694">
        <w:t xml:space="preserve"> </w:t>
      </w:r>
      <w:r w:rsidRPr="00FB7493">
        <w:t xml:space="preserve"> </w:t>
      </w:r>
    </w:p>
    <w:p w14:paraId="0E5D46E4" w14:textId="77777777" w:rsidR="00176424" w:rsidRPr="00FB7493" w:rsidRDefault="00176424" w:rsidP="00E51D96"/>
    <w:p w14:paraId="2B754543" w14:textId="77777777" w:rsidR="001E22F0" w:rsidRPr="00FB7493" w:rsidRDefault="001E22F0" w:rsidP="001E22F0">
      <w:pPr>
        <w:widowControl w:val="0"/>
        <w:autoSpaceDE w:val="0"/>
        <w:autoSpaceDN w:val="0"/>
        <w:adjustRightInd w:val="0"/>
        <w:ind w:left="1440" w:hanging="720"/>
      </w:pPr>
      <w:r w:rsidRPr="00FB7493">
        <w:t>i)</w:t>
      </w:r>
      <w:r w:rsidRPr="00FB7493">
        <w:tab/>
        <w:t xml:space="preserve">A representative piece of each type of glassware or plastic ware from each batch of clean, dried glassware or plastic ware shall be tested for residual alkaline or acid residue using bromothymol blue indicator.  If the result of the indicator test is not green, corrective action shall be taken by re-rinsing, then air drying and retesting. </w:t>
      </w:r>
    </w:p>
    <w:p w14:paraId="4CEEEA2A" w14:textId="77777777" w:rsidR="00176424" w:rsidRPr="00FB7493" w:rsidRDefault="00176424" w:rsidP="00E51D96"/>
    <w:p w14:paraId="049A2A66" w14:textId="1CF229E6" w:rsidR="001E22F0" w:rsidRPr="00FB7493" w:rsidRDefault="001E22F0" w:rsidP="001E22F0">
      <w:pPr>
        <w:widowControl w:val="0"/>
        <w:autoSpaceDE w:val="0"/>
        <w:autoSpaceDN w:val="0"/>
        <w:adjustRightInd w:val="0"/>
        <w:ind w:left="1440" w:hanging="720"/>
      </w:pPr>
      <w:r w:rsidRPr="00FB7493">
        <w:t>j)</w:t>
      </w:r>
      <w:r w:rsidRPr="00FB7493">
        <w:tab/>
        <w:t xml:space="preserve">At least one bottle per </w:t>
      </w:r>
      <w:r w:rsidR="009C3C30" w:rsidRPr="00FB7493">
        <w:t>lot o</w:t>
      </w:r>
      <w:r w:rsidR="00016902">
        <w:t>r</w:t>
      </w:r>
      <w:r w:rsidR="009C3C30" w:rsidRPr="00FB7493">
        <w:t xml:space="preserve"> </w:t>
      </w:r>
      <w:r w:rsidRPr="00FB7493">
        <w:t>batch of sterilized sample bottles</w:t>
      </w:r>
      <w:r w:rsidR="00175543" w:rsidRPr="00447EAE">
        <w:t>, whirlpaks or QuantiTray envelopes</w:t>
      </w:r>
      <w:r w:rsidRPr="00FB7493">
        <w:t xml:space="preserve"> shall be checked </w:t>
      </w:r>
      <w:r w:rsidR="009C3C30" w:rsidRPr="00FB7493">
        <w:t xml:space="preserve">before first use </w:t>
      </w:r>
      <w:r w:rsidRPr="00FB7493">
        <w:t>for sterility by adding approximately 25 ml of sterile non-selective broth media to each bottle</w:t>
      </w:r>
      <w:r w:rsidR="00175543" w:rsidRPr="00175543">
        <w:t xml:space="preserve"> </w:t>
      </w:r>
      <w:r w:rsidR="00175543" w:rsidRPr="00447EAE">
        <w:t>or whirlpak and 100 ml to Quantitray envelope</w:t>
      </w:r>
      <w:r w:rsidRPr="00FB7493">
        <w:t xml:space="preserve">. The bottle shall be capped and rotated so that the broth comes in contact with all surfaces and shall be incubated at 35º + 0.5º C </w:t>
      </w:r>
      <w:r w:rsidR="00D21694" w:rsidRPr="00FB7493">
        <w:t>and checked after 24 and 48 hours for growth.</w:t>
      </w:r>
      <w:r w:rsidRPr="00FB7493">
        <w:t xml:space="preserve">  </w:t>
      </w:r>
      <w:r w:rsidR="009C3C30" w:rsidRPr="00FB7493">
        <w:t>Sample</w:t>
      </w:r>
      <w:r w:rsidRPr="00FB7493">
        <w:t xml:space="preserve"> bottles shall not be used unless satisfactory results are obtained. </w:t>
      </w:r>
    </w:p>
    <w:p w14:paraId="29593611" w14:textId="77777777" w:rsidR="00176424" w:rsidRPr="00FB7493" w:rsidRDefault="00176424" w:rsidP="00E51D96"/>
    <w:p w14:paraId="5E7BE7B1" w14:textId="77777777" w:rsidR="001E22F0" w:rsidRPr="00FB7493" w:rsidRDefault="001E22F0" w:rsidP="001E22F0">
      <w:pPr>
        <w:widowControl w:val="0"/>
        <w:autoSpaceDE w:val="0"/>
        <w:autoSpaceDN w:val="0"/>
        <w:adjustRightInd w:val="0"/>
        <w:ind w:left="1440" w:hanging="720"/>
      </w:pPr>
      <w:r w:rsidRPr="00FB7493">
        <w:t>k)</w:t>
      </w:r>
      <w:r w:rsidRPr="00FB7493">
        <w:tab/>
        <w:t xml:space="preserve">At least one bottle per </w:t>
      </w:r>
      <w:r w:rsidR="009C3C30" w:rsidRPr="00FB7493">
        <w:t xml:space="preserve">lot or </w:t>
      </w:r>
      <w:r w:rsidRPr="00FB7493">
        <w:t xml:space="preserve">batch of sterilized sample bottles prepared with sodium thiosulfate shall be checked for </w:t>
      </w:r>
      <w:r w:rsidR="009C3C30" w:rsidRPr="00FB7493">
        <w:t xml:space="preserve">a </w:t>
      </w:r>
      <w:r w:rsidRPr="00FB7493">
        <w:t xml:space="preserve">sufficient amount of the dechlorinating reagent by collecting a potable sample at the laboratory tap, then checking for residual chlorine. Corrective action shall be taken if there is any residual chlorine, and bottles checked shall not be used until corrective action has been completed. </w:t>
      </w:r>
    </w:p>
    <w:p w14:paraId="52745002" w14:textId="77777777" w:rsidR="00176424" w:rsidRPr="00FB7493" w:rsidRDefault="00176424" w:rsidP="00E51D96"/>
    <w:p w14:paraId="532E4D58" w14:textId="77777777" w:rsidR="009C3C30" w:rsidRPr="00FB7493" w:rsidRDefault="009C3C30" w:rsidP="001E22F0">
      <w:pPr>
        <w:widowControl w:val="0"/>
        <w:autoSpaceDE w:val="0"/>
        <w:autoSpaceDN w:val="0"/>
        <w:adjustRightInd w:val="0"/>
        <w:ind w:left="1440" w:hanging="720"/>
      </w:pPr>
      <w:r w:rsidRPr="00FB7493">
        <w:t>l)</w:t>
      </w:r>
      <w:r w:rsidRPr="00FB7493">
        <w:tab/>
        <w:t>At least one bottle per lot of precalibrated sample containers shall be checked before first use by measuring the volume with a Class A graduated cylinder. Tolerance shall be ± 2.5%.</w:t>
      </w:r>
    </w:p>
    <w:p w14:paraId="325A0309" w14:textId="77777777" w:rsidR="009C3C30" w:rsidRPr="00FB7493" w:rsidRDefault="009C3C30" w:rsidP="00E51D96"/>
    <w:p w14:paraId="4233307C" w14:textId="7DBFBAB5" w:rsidR="001E22F0" w:rsidRPr="00FB7493" w:rsidRDefault="009C3C30" w:rsidP="001E22F0">
      <w:pPr>
        <w:widowControl w:val="0"/>
        <w:autoSpaceDE w:val="0"/>
        <w:autoSpaceDN w:val="0"/>
        <w:adjustRightInd w:val="0"/>
        <w:ind w:left="1440" w:hanging="720"/>
      </w:pPr>
      <w:r w:rsidRPr="00FB7493">
        <w:t>m</w:t>
      </w:r>
      <w:r w:rsidR="001E22F0" w:rsidRPr="00FB7493">
        <w:t>)</w:t>
      </w:r>
      <w:r w:rsidR="001E22F0" w:rsidRPr="00FB7493">
        <w:tab/>
        <w:t xml:space="preserve">Current service contracts or in-house protocols shall be maintained on balances, autoclaves, hot-air sterilization ovens, water stills, deionizers, reverse osmosis </w:t>
      </w:r>
      <w:r w:rsidR="00175543" w:rsidRPr="00447EAE">
        <w:t>apparatuses</w:t>
      </w:r>
      <w:r w:rsidR="001E22F0" w:rsidRPr="00FB7493">
        <w:t xml:space="preserve">, water baths, incubators, etc. Service records on </w:t>
      </w:r>
      <w:r w:rsidRPr="00FB7493">
        <w:t>the</w:t>
      </w:r>
      <w:r w:rsidR="001E22F0" w:rsidRPr="00FB7493">
        <w:t xml:space="preserve"> equipment shall include the date, name of the servicing person, and a description of the service provided. </w:t>
      </w:r>
    </w:p>
    <w:p w14:paraId="40D7D213" w14:textId="77777777" w:rsidR="00176424" w:rsidRPr="00FB7493" w:rsidRDefault="00176424" w:rsidP="00E51D96"/>
    <w:p w14:paraId="32A2F241" w14:textId="2C91200D" w:rsidR="001E22F0" w:rsidRPr="00FB7493" w:rsidRDefault="009C3C30" w:rsidP="001E22F0">
      <w:pPr>
        <w:widowControl w:val="0"/>
        <w:autoSpaceDE w:val="0"/>
        <w:autoSpaceDN w:val="0"/>
        <w:adjustRightInd w:val="0"/>
        <w:ind w:left="1440" w:hanging="720"/>
      </w:pPr>
      <w:r w:rsidRPr="00FB7493">
        <w:t>n</w:t>
      </w:r>
      <w:r w:rsidR="001E22F0" w:rsidRPr="00FB7493">
        <w:t>)</w:t>
      </w:r>
      <w:r w:rsidR="001E22F0" w:rsidRPr="00FB7493">
        <w:tab/>
        <w:t xml:space="preserve">Records shall be available for inspection on all batches of sterilized media showing </w:t>
      </w:r>
      <w:r w:rsidRPr="00FB7493">
        <w:t xml:space="preserve">the </w:t>
      </w:r>
      <w:r w:rsidR="001E22F0" w:rsidRPr="00FB7493">
        <w:t xml:space="preserve">type of medium, lot numbers, date, sterilization time and temperatures, final pH, and </w:t>
      </w:r>
      <w:r w:rsidRPr="00FB7493">
        <w:t>the names</w:t>
      </w:r>
      <w:r w:rsidR="00427E50" w:rsidRPr="00447EAE">
        <w:t>/unique initials</w:t>
      </w:r>
      <w:r w:rsidR="001E22F0" w:rsidRPr="00FB7493">
        <w:t xml:space="preserve"> of the </w:t>
      </w:r>
      <w:r w:rsidR="00222B5B" w:rsidRPr="00FB7493">
        <w:t>persons</w:t>
      </w:r>
      <w:r w:rsidR="001E22F0" w:rsidRPr="00FB7493">
        <w:t xml:space="preserve"> responsible for all or any part of the recorded data. The final pH of the medium </w:t>
      </w:r>
      <w:r w:rsidR="0052611E" w:rsidRPr="00FB7493">
        <w:t xml:space="preserve">at 25° C </w:t>
      </w:r>
      <w:r w:rsidR="001E22F0" w:rsidRPr="00FB7493">
        <w:t xml:space="preserve">shall be: </w:t>
      </w:r>
    </w:p>
    <w:p w14:paraId="303468CD" w14:textId="77777777" w:rsidR="001E22F0" w:rsidRPr="00FB7493" w:rsidRDefault="001E22F0" w:rsidP="00E51D96"/>
    <w:tbl>
      <w:tblPr>
        <w:tblW w:w="0" w:type="auto"/>
        <w:tblInd w:w="1893"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582"/>
        <w:gridCol w:w="980"/>
        <w:gridCol w:w="2290"/>
      </w:tblGrid>
      <w:tr w:rsidR="001E22F0" w:rsidRPr="00FB7493" w14:paraId="5F12E200" w14:textId="77777777" w:rsidTr="0070172F">
        <w:tc>
          <w:tcPr>
            <w:tcW w:w="3582" w:type="dxa"/>
            <w:tcBorders>
              <w:top w:val="nil"/>
              <w:left w:val="nil"/>
              <w:bottom w:val="single" w:sz="4" w:space="0" w:color="auto"/>
              <w:right w:val="nil"/>
            </w:tcBorders>
          </w:tcPr>
          <w:p w14:paraId="65A55B5C" w14:textId="77777777" w:rsidR="001E22F0" w:rsidRPr="00FB7493" w:rsidRDefault="001E22F0" w:rsidP="008706BA">
            <w:pPr>
              <w:widowControl w:val="0"/>
              <w:tabs>
                <w:tab w:val="left" w:pos="2769"/>
              </w:tabs>
              <w:autoSpaceDE w:val="0"/>
              <w:autoSpaceDN w:val="0"/>
              <w:adjustRightInd w:val="0"/>
              <w:ind w:left="-471"/>
              <w:jc w:val="center"/>
            </w:pPr>
            <w:r w:rsidRPr="00FB7493">
              <w:t>Media</w:t>
            </w:r>
          </w:p>
        </w:tc>
        <w:tc>
          <w:tcPr>
            <w:tcW w:w="980" w:type="dxa"/>
            <w:tcBorders>
              <w:top w:val="nil"/>
              <w:left w:val="nil"/>
              <w:bottom w:val="nil"/>
              <w:right w:val="nil"/>
            </w:tcBorders>
          </w:tcPr>
          <w:p w14:paraId="13AEBEED"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single" w:sz="4" w:space="0" w:color="auto"/>
              <w:right w:val="nil"/>
            </w:tcBorders>
          </w:tcPr>
          <w:p w14:paraId="31DF5028" w14:textId="77777777" w:rsidR="001E22F0" w:rsidRPr="00FB7493" w:rsidRDefault="001E22F0" w:rsidP="008706BA">
            <w:pPr>
              <w:widowControl w:val="0"/>
              <w:autoSpaceDE w:val="0"/>
              <w:autoSpaceDN w:val="0"/>
              <w:adjustRightInd w:val="0"/>
              <w:ind w:left="-426" w:right="-327"/>
              <w:jc w:val="center"/>
            </w:pPr>
            <w:r w:rsidRPr="00FB7493">
              <w:t>pH</w:t>
            </w:r>
          </w:p>
        </w:tc>
      </w:tr>
      <w:tr w:rsidR="001E22F0" w:rsidRPr="00FB7493" w14:paraId="4A3ABAE4" w14:textId="77777777" w:rsidTr="0070172F">
        <w:tc>
          <w:tcPr>
            <w:tcW w:w="3582" w:type="dxa"/>
            <w:tcBorders>
              <w:top w:val="single" w:sz="4" w:space="0" w:color="auto"/>
              <w:left w:val="nil"/>
              <w:bottom w:val="nil"/>
              <w:right w:val="nil"/>
            </w:tcBorders>
          </w:tcPr>
          <w:p w14:paraId="7275012C" w14:textId="77777777" w:rsidR="001E22F0" w:rsidRPr="00FB7493" w:rsidRDefault="001E22F0" w:rsidP="008706BA">
            <w:pPr>
              <w:widowControl w:val="0"/>
              <w:autoSpaceDE w:val="0"/>
              <w:autoSpaceDN w:val="0"/>
              <w:adjustRightInd w:val="0"/>
            </w:pPr>
          </w:p>
        </w:tc>
        <w:tc>
          <w:tcPr>
            <w:tcW w:w="980" w:type="dxa"/>
            <w:tcBorders>
              <w:top w:val="nil"/>
              <w:left w:val="nil"/>
              <w:bottom w:val="nil"/>
              <w:right w:val="nil"/>
            </w:tcBorders>
          </w:tcPr>
          <w:p w14:paraId="0DBAF9C3" w14:textId="77777777" w:rsidR="001E22F0" w:rsidRPr="00FB7493" w:rsidRDefault="001E22F0" w:rsidP="008706BA">
            <w:pPr>
              <w:widowControl w:val="0"/>
              <w:autoSpaceDE w:val="0"/>
              <w:autoSpaceDN w:val="0"/>
              <w:adjustRightInd w:val="0"/>
              <w:ind w:left="-453" w:right="-435"/>
            </w:pPr>
          </w:p>
        </w:tc>
        <w:tc>
          <w:tcPr>
            <w:tcW w:w="2290" w:type="dxa"/>
            <w:tcBorders>
              <w:top w:val="single" w:sz="4" w:space="0" w:color="auto"/>
              <w:left w:val="nil"/>
              <w:bottom w:val="nil"/>
              <w:right w:val="nil"/>
            </w:tcBorders>
          </w:tcPr>
          <w:p w14:paraId="590C5C38" w14:textId="77777777" w:rsidR="001E22F0" w:rsidRPr="00FB7493" w:rsidRDefault="001E22F0" w:rsidP="008706BA">
            <w:pPr>
              <w:widowControl w:val="0"/>
              <w:autoSpaceDE w:val="0"/>
              <w:autoSpaceDN w:val="0"/>
              <w:adjustRightInd w:val="0"/>
              <w:ind w:left="-426" w:right="-327"/>
            </w:pPr>
          </w:p>
        </w:tc>
      </w:tr>
      <w:tr w:rsidR="001E22F0" w:rsidRPr="00FB7493" w14:paraId="602DC35A" w14:textId="77777777" w:rsidTr="0070172F">
        <w:tc>
          <w:tcPr>
            <w:tcW w:w="3582" w:type="dxa"/>
            <w:tcBorders>
              <w:top w:val="nil"/>
              <w:left w:val="nil"/>
              <w:bottom w:val="nil"/>
              <w:right w:val="nil"/>
            </w:tcBorders>
          </w:tcPr>
          <w:p w14:paraId="4A20A1E8" w14:textId="77777777" w:rsidR="001E22F0" w:rsidRPr="00FB7493" w:rsidRDefault="001E22F0" w:rsidP="008706BA">
            <w:pPr>
              <w:widowControl w:val="0"/>
              <w:autoSpaceDE w:val="0"/>
              <w:autoSpaceDN w:val="0"/>
              <w:adjustRightInd w:val="0"/>
              <w:ind w:left="-183"/>
            </w:pPr>
            <w:r w:rsidRPr="00FB7493">
              <w:t>M-Endo broth</w:t>
            </w:r>
          </w:p>
        </w:tc>
        <w:tc>
          <w:tcPr>
            <w:tcW w:w="980" w:type="dxa"/>
            <w:tcBorders>
              <w:top w:val="nil"/>
              <w:left w:val="nil"/>
              <w:bottom w:val="nil"/>
              <w:right w:val="nil"/>
            </w:tcBorders>
          </w:tcPr>
          <w:p w14:paraId="60F01C64"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767E23BB" w14:textId="77777777" w:rsidR="001E22F0" w:rsidRPr="00FB7493" w:rsidRDefault="001E22F0" w:rsidP="008706BA">
            <w:pPr>
              <w:widowControl w:val="0"/>
              <w:autoSpaceDE w:val="0"/>
              <w:autoSpaceDN w:val="0"/>
              <w:adjustRightInd w:val="0"/>
              <w:ind w:left="-246" w:right="-327"/>
            </w:pPr>
            <w:r w:rsidRPr="00FB7493">
              <w:t xml:space="preserve">7.2  </w:t>
            </w:r>
            <w:r w:rsidR="00222B5B" w:rsidRPr="00FB7493">
              <w:t>±</w:t>
            </w:r>
            <w:r w:rsidRPr="00FB7493">
              <w:t xml:space="preserve">  0.2</w:t>
            </w:r>
          </w:p>
        </w:tc>
      </w:tr>
      <w:tr w:rsidR="001E22F0" w:rsidRPr="00FB7493" w14:paraId="3763414E" w14:textId="77777777" w:rsidTr="0070172F">
        <w:tc>
          <w:tcPr>
            <w:tcW w:w="3582" w:type="dxa"/>
            <w:tcBorders>
              <w:top w:val="nil"/>
              <w:left w:val="nil"/>
              <w:bottom w:val="nil"/>
              <w:right w:val="nil"/>
            </w:tcBorders>
          </w:tcPr>
          <w:p w14:paraId="56AC4ECD" w14:textId="77777777" w:rsidR="001E22F0" w:rsidRPr="00FB7493" w:rsidRDefault="001E22F0" w:rsidP="008706BA">
            <w:pPr>
              <w:widowControl w:val="0"/>
              <w:autoSpaceDE w:val="0"/>
              <w:autoSpaceDN w:val="0"/>
              <w:adjustRightInd w:val="0"/>
              <w:ind w:left="-183"/>
            </w:pPr>
            <w:r w:rsidRPr="00FB7493">
              <w:t>M-Endo agar</w:t>
            </w:r>
          </w:p>
        </w:tc>
        <w:tc>
          <w:tcPr>
            <w:tcW w:w="980" w:type="dxa"/>
            <w:tcBorders>
              <w:top w:val="nil"/>
              <w:left w:val="nil"/>
              <w:bottom w:val="nil"/>
              <w:right w:val="nil"/>
            </w:tcBorders>
          </w:tcPr>
          <w:p w14:paraId="2B57F906"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68F919E4" w14:textId="77777777" w:rsidR="001E22F0" w:rsidRPr="00FB7493" w:rsidRDefault="001E22F0" w:rsidP="008706BA">
            <w:pPr>
              <w:widowControl w:val="0"/>
              <w:autoSpaceDE w:val="0"/>
              <w:autoSpaceDN w:val="0"/>
              <w:adjustRightInd w:val="0"/>
              <w:ind w:left="-246" w:right="-327"/>
            </w:pPr>
            <w:r w:rsidRPr="00FB7493">
              <w:t xml:space="preserve">7.2  </w:t>
            </w:r>
            <w:r w:rsidR="00222B5B" w:rsidRPr="00FB7493">
              <w:t>±</w:t>
            </w:r>
            <w:r w:rsidRPr="00FB7493">
              <w:t xml:space="preserve">  0.2</w:t>
            </w:r>
          </w:p>
        </w:tc>
      </w:tr>
      <w:tr w:rsidR="001E22F0" w:rsidRPr="00FB7493" w14:paraId="7CD2DA3D" w14:textId="77777777" w:rsidTr="0070172F">
        <w:tc>
          <w:tcPr>
            <w:tcW w:w="3582" w:type="dxa"/>
            <w:tcBorders>
              <w:top w:val="nil"/>
              <w:left w:val="nil"/>
              <w:bottom w:val="nil"/>
              <w:right w:val="nil"/>
            </w:tcBorders>
          </w:tcPr>
          <w:p w14:paraId="75CD2260" w14:textId="77777777" w:rsidR="001E22F0" w:rsidRPr="00FB7493" w:rsidRDefault="001E22F0" w:rsidP="008706BA">
            <w:pPr>
              <w:widowControl w:val="0"/>
              <w:autoSpaceDE w:val="0"/>
              <w:autoSpaceDN w:val="0"/>
              <w:adjustRightInd w:val="0"/>
              <w:ind w:left="-183"/>
            </w:pPr>
            <w:r w:rsidRPr="00FB7493">
              <w:t>M-Endo LES agar</w:t>
            </w:r>
          </w:p>
        </w:tc>
        <w:tc>
          <w:tcPr>
            <w:tcW w:w="980" w:type="dxa"/>
            <w:tcBorders>
              <w:top w:val="nil"/>
              <w:left w:val="nil"/>
              <w:bottom w:val="nil"/>
              <w:right w:val="nil"/>
            </w:tcBorders>
          </w:tcPr>
          <w:p w14:paraId="59ACC34C"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53CD0F5A" w14:textId="77777777" w:rsidR="001E22F0" w:rsidRPr="00FB7493" w:rsidRDefault="001E22F0" w:rsidP="008706BA">
            <w:pPr>
              <w:widowControl w:val="0"/>
              <w:autoSpaceDE w:val="0"/>
              <w:autoSpaceDN w:val="0"/>
              <w:adjustRightInd w:val="0"/>
              <w:ind w:left="-246" w:right="-327"/>
            </w:pPr>
            <w:r w:rsidRPr="00FB7493">
              <w:t xml:space="preserve">7.2  </w:t>
            </w:r>
            <w:r w:rsidR="00222B5B" w:rsidRPr="00FB7493">
              <w:t>±</w:t>
            </w:r>
            <w:r w:rsidRPr="00FB7493">
              <w:t xml:space="preserve">  0.2</w:t>
            </w:r>
          </w:p>
        </w:tc>
      </w:tr>
      <w:tr w:rsidR="001E22F0" w:rsidRPr="00FB7493" w14:paraId="5982FBB9" w14:textId="77777777" w:rsidTr="0070172F">
        <w:tc>
          <w:tcPr>
            <w:tcW w:w="3582" w:type="dxa"/>
            <w:tcBorders>
              <w:top w:val="nil"/>
              <w:left w:val="nil"/>
              <w:bottom w:val="nil"/>
              <w:right w:val="nil"/>
            </w:tcBorders>
          </w:tcPr>
          <w:p w14:paraId="400B619A" w14:textId="77777777" w:rsidR="001E22F0" w:rsidRPr="00FB7493" w:rsidRDefault="001E22F0" w:rsidP="008706BA">
            <w:pPr>
              <w:widowControl w:val="0"/>
              <w:autoSpaceDE w:val="0"/>
              <w:autoSpaceDN w:val="0"/>
              <w:adjustRightInd w:val="0"/>
              <w:ind w:left="-183"/>
            </w:pPr>
            <w:r w:rsidRPr="00FB7493">
              <w:t>brilliant green</w:t>
            </w:r>
          </w:p>
        </w:tc>
        <w:tc>
          <w:tcPr>
            <w:tcW w:w="980" w:type="dxa"/>
            <w:tcBorders>
              <w:top w:val="nil"/>
              <w:left w:val="nil"/>
              <w:bottom w:val="nil"/>
              <w:right w:val="nil"/>
            </w:tcBorders>
          </w:tcPr>
          <w:p w14:paraId="0FAC2C23"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5B25F05D" w14:textId="77777777" w:rsidR="001E22F0" w:rsidRPr="00FB7493" w:rsidRDefault="001E22F0" w:rsidP="008706BA">
            <w:pPr>
              <w:widowControl w:val="0"/>
              <w:autoSpaceDE w:val="0"/>
              <w:autoSpaceDN w:val="0"/>
              <w:adjustRightInd w:val="0"/>
              <w:ind w:left="-246" w:right="-327"/>
            </w:pPr>
            <w:r w:rsidRPr="00FB7493">
              <w:t xml:space="preserve">7.2  </w:t>
            </w:r>
            <w:r w:rsidR="00222B5B" w:rsidRPr="00FB7493">
              <w:t>±</w:t>
            </w:r>
            <w:r w:rsidRPr="00FB7493">
              <w:t xml:space="preserve">  0.2</w:t>
            </w:r>
          </w:p>
        </w:tc>
      </w:tr>
      <w:tr w:rsidR="001E22F0" w:rsidRPr="00FB7493" w14:paraId="244908A8" w14:textId="77777777" w:rsidTr="0070172F">
        <w:tc>
          <w:tcPr>
            <w:tcW w:w="3582" w:type="dxa"/>
            <w:tcBorders>
              <w:top w:val="nil"/>
              <w:left w:val="nil"/>
              <w:bottom w:val="nil"/>
              <w:right w:val="nil"/>
            </w:tcBorders>
          </w:tcPr>
          <w:p w14:paraId="10FFBD2E" w14:textId="77777777" w:rsidR="001E22F0" w:rsidRPr="00FB7493" w:rsidRDefault="001E22F0" w:rsidP="008706BA">
            <w:pPr>
              <w:widowControl w:val="0"/>
              <w:autoSpaceDE w:val="0"/>
              <w:autoSpaceDN w:val="0"/>
              <w:adjustRightInd w:val="0"/>
              <w:ind w:left="177"/>
            </w:pPr>
            <w:r w:rsidRPr="00FB7493">
              <w:t>lactose bile broth</w:t>
            </w:r>
          </w:p>
        </w:tc>
        <w:tc>
          <w:tcPr>
            <w:tcW w:w="980" w:type="dxa"/>
            <w:tcBorders>
              <w:top w:val="nil"/>
              <w:left w:val="nil"/>
              <w:bottom w:val="nil"/>
              <w:right w:val="nil"/>
            </w:tcBorders>
          </w:tcPr>
          <w:p w14:paraId="3E094070"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03F9E168" w14:textId="18972819" w:rsidR="001E22F0" w:rsidRPr="00FB7493" w:rsidRDefault="001E22F0" w:rsidP="008706BA">
            <w:pPr>
              <w:widowControl w:val="0"/>
              <w:autoSpaceDE w:val="0"/>
              <w:autoSpaceDN w:val="0"/>
              <w:adjustRightInd w:val="0"/>
              <w:ind w:left="-246" w:right="-327"/>
            </w:pPr>
          </w:p>
        </w:tc>
      </w:tr>
      <w:tr w:rsidR="001E22F0" w:rsidRPr="00FB7493" w14:paraId="0ED1E464" w14:textId="77777777" w:rsidTr="0070172F">
        <w:tc>
          <w:tcPr>
            <w:tcW w:w="3582" w:type="dxa"/>
            <w:tcBorders>
              <w:top w:val="nil"/>
              <w:left w:val="nil"/>
              <w:bottom w:val="nil"/>
              <w:right w:val="nil"/>
            </w:tcBorders>
          </w:tcPr>
          <w:p w14:paraId="20DDDF83" w14:textId="3F6AB960" w:rsidR="001E22F0" w:rsidRPr="00FB7493" w:rsidRDefault="001E22F0" w:rsidP="008706BA">
            <w:pPr>
              <w:widowControl w:val="0"/>
              <w:autoSpaceDE w:val="0"/>
              <w:autoSpaceDN w:val="0"/>
              <w:adjustRightInd w:val="0"/>
              <w:ind w:left="-183"/>
            </w:pPr>
          </w:p>
        </w:tc>
        <w:tc>
          <w:tcPr>
            <w:tcW w:w="980" w:type="dxa"/>
            <w:tcBorders>
              <w:top w:val="nil"/>
              <w:left w:val="nil"/>
              <w:bottom w:val="nil"/>
              <w:right w:val="nil"/>
            </w:tcBorders>
          </w:tcPr>
          <w:p w14:paraId="7AD46D31"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426DF161" w14:textId="3A48F564" w:rsidR="001E22F0" w:rsidRPr="00FB7493" w:rsidRDefault="001E22F0" w:rsidP="008706BA">
            <w:pPr>
              <w:widowControl w:val="0"/>
              <w:autoSpaceDE w:val="0"/>
              <w:autoSpaceDN w:val="0"/>
              <w:adjustRightInd w:val="0"/>
              <w:ind w:left="-246" w:right="-327"/>
            </w:pPr>
          </w:p>
        </w:tc>
      </w:tr>
      <w:tr w:rsidR="001E22F0" w:rsidRPr="00FB7493" w14:paraId="13CE1D77" w14:textId="77777777" w:rsidTr="0070172F">
        <w:tc>
          <w:tcPr>
            <w:tcW w:w="3582" w:type="dxa"/>
            <w:tcBorders>
              <w:top w:val="nil"/>
              <w:left w:val="nil"/>
              <w:bottom w:val="nil"/>
              <w:right w:val="nil"/>
            </w:tcBorders>
          </w:tcPr>
          <w:p w14:paraId="2533951D" w14:textId="77777777" w:rsidR="001E22F0" w:rsidRPr="00FB7493" w:rsidRDefault="001E22F0" w:rsidP="008706BA">
            <w:pPr>
              <w:widowControl w:val="0"/>
              <w:autoSpaceDE w:val="0"/>
              <w:autoSpaceDN w:val="0"/>
              <w:adjustRightInd w:val="0"/>
              <w:ind w:left="-183"/>
            </w:pPr>
            <w:r w:rsidRPr="00FB7493">
              <w:lastRenderedPageBreak/>
              <w:t>EC Medium</w:t>
            </w:r>
          </w:p>
        </w:tc>
        <w:tc>
          <w:tcPr>
            <w:tcW w:w="980" w:type="dxa"/>
            <w:tcBorders>
              <w:top w:val="nil"/>
              <w:left w:val="nil"/>
              <w:bottom w:val="nil"/>
              <w:right w:val="nil"/>
            </w:tcBorders>
          </w:tcPr>
          <w:p w14:paraId="46EC49A2"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71D1AC5B" w14:textId="77777777" w:rsidR="001E22F0" w:rsidRPr="00FB7493" w:rsidRDefault="001E22F0" w:rsidP="008706BA">
            <w:pPr>
              <w:widowControl w:val="0"/>
              <w:autoSpaceDE w:val="0"/>
              <w:autoSpaceDN w:val="0"/>
              <w:adjustRightInd w:val="0"/>
              <w:ind w:left="-246" w:right="-327"/>
            </w:pPr>
            <w:r w:rsidRPr="00FB7493">
              <w:t xml:space="preserve">6.9  </w:t>
            </w:r>
            <w:r w:rsidR="00222B5B" w:rsidRPr="00FB7493">
              <w:t>±</w:t>
            </w:r>
            <w:r w:rsidRPr="00FB7493">
              <w:t xml:space="preserve">  0.2</w:t>
            </w:r>
          </w:p>
        </w:tc>
      </w:tr>
      <w:tr w:rsidR="00427E50" w:rsidRPr="00FB7493" w14:paraId="5A0C62BD" w14:textId="77777777" w:rsidTr="0070172F">
        <w:tc>
          <w:tcPr>
            <w:tcW w:w="3582" w:type="dxa"/>
            <w:tcBorders>
              <w:top w:val="nil"/>
              <w:left w:val="nil"/>
              <w:bottom w:val="nil"/>
              <w:right w:val="nil"/>
            </w:tcBorders>
          </w:tcPr>
          <w:p w14:paraId="0D0094A1" w14:textId="66F6D653" w:rsidR="00427E50" w:rsidRPr="00FB7493" w:rsidRDefault="00427E50" w:rsidP="008706BA">
            <w:pPr>
              <w:widowControl w:val="0"/>
              <w:autoSpaceDE w:val="0"/>
              <w:autoSpaceDN w:val="0"/>
              <w:adjustRightInd w:val="0"/>
              <w:ind w:left="-183"/>
            </w:pPr>
            <w:r>
              <w:t>EC-MUG</w:t>
            </w:r>
          </w:p>
        </w:tc>
        <w:tc>
          <w:tcPr>
            <w:tcW w:w="980" w:type="dxa"/>
            <w:tcBorders>
              <w:top w:val="nil"/>
              <w:left w:val="nil"/>
              <w:bottom w:val="nil"/>
              <w:right w:val="nil"/>
            </w:tcBorders>
          </w:tcPr>
          <w:p w14:paraId="6A528BAC" w14:textId="77777777" w:rsidR="00427E50" w:rsidRPr="00FB7493" w:rsidRDefault="00427E50" w:rsidP="008706BA">
            <w:pPr>
              <w:widowControl w:val="0"/>
              <w:autoSpaceDE w:val="0"/>
              <w:autoSpaceDN w:val="0"/>
              <w:adjustRightInd w:val="0"/>
              <w:ind w:left="-453" w:right="-435"/>
            </w:pPr>
          </w:p>
        </w:tc>
        <w:tc>
          <w:tcPr>
            <w:tcW w:w="2290" w:type="dxa"/>
            <w:tcBorders>
              <w:top w:val="nil"/>
              <w:left w:val="nil"/>
              <w:bottom w:val="nil"/>
              <w:right w:val="nil"/>
            </w:tcBorders>
          </w:tcPr>
          <w:p w14:paraId="7BC5459C" w14:textId="3C8D7DD4" w:rsidR="00427E50" w:rsidRPr="00FB7493" w:rsidRDefault="00427E50" w:rsidP="008706BA">
            <w:pPr>
              <w:widowControl w:val="0"/>
              <w:autoSpaceDE w:val="0"/>
              <w:autoSpaceDN w:val="0"/>
              <w:adjustRightInd w:val="0"/>
              <w:ind w:left="-246" w:right="-327"/>
            </w:pPr>
            <w:r>
              <w:t>6.9</w:t>
            </w:r>
            <w:r w:rsidRPr="00FB7493">
              <w:t xml:space="preserve"> ±  </w:t>
            </w:r>
            <w:r>
              <w:t>0.2</w:t>
            </w:r>
          </w:p>
        </w:tc>
      </w:tr>
      <w:tr w:rsidR="001E22F0" w:rsidRPr="00FB7493" w14:paraId="7047E8BE" w14:textId="77777777" w:rsidTr="0070172F">
        <w:tc>
          <w:tcPr>
            <w:tcW w:w="3582" w:type="dxa"/>
            <w:tcBorders>
              <w:top w:val="nil"/>
              <w:left w:val="nil"/>
              <w:bottom w:val="nil"/>
              <w:right w:val="nil"/>
            </w:tcBorders>
          </w:tcPr>
          <w:p w14:paraId="654D2230" w14:textId="77777777" w:rsidR="001E22F0" w:rsidRPr="00FB7493" w:rsidRDefault="001E22F0" w:rsidP="008706BA">
            <w:pPr>
              <w:widowControl w:val="0"/>
              <w:autoSpaceDE w:val="0"/>
              <w:autoSpaceDN w:val="0"/>
              <w:adjustRightInd w:val="0"/>
              <w:ind w:left="-183"/>
            </w:pPr>
            <w:r w:rsidRPr="00FB7493">
              <w:t>plate count agar</w:t>
            </w:r>
          </w:p>
        </w:tc>
        <w:tc>
          <w:tcPr>
            <w:tcW w:w="980" w:type="dxa"/>
            <w:tcBorders>
              <w:top w:val="nil"/>
              <w:left w:val="nil"/>
              <w:bottom w:val="nil"/>
              <w:right w:val="nil"/>
            </w:tcBorders>
          </w:tcPr>
          <w:p w14:paraId="5B2581F9"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48F814EF" w14:textId="77777777" w:rsidR="001E22F0" w:rsidRPr="00FB7493" w:rsidRDefault="001E22F0" w:rsidP="008706BA">
            <w:pPr>
              <w:widowControl w:val="0"/>
              <w:autoSpaceDE w:val="0"/>
              <w:autoSpaceDN w:val="0"/>
              <w:adjustRightInd w:val="0"/>
              <w:ind w:left="-246" w:right="-327"/>
            </w:pPr>
            <w:r w:rsidRPr="00FB7493">
              <w:t xml:space="preserve">7.0  </w:t>
            </w:r>
            <w:r w:rsidR="00222B5B" w:rsidRPr="00FB7493">
              <w:t>±</w:t>
            </w:r>
            <w:r w:rsidRPr="00FB7493">
              <w:t xml:space="preserve">  0.2</w:t>
            </w:r>
          </w:p>
        </w:tc>
      </w:tr>
      <w:tr w:rsidR="001E22F0" w:rsidRPr="00FB7493" w14:paraId="38F88161" w14:textId="77777777" w:rsidTr="0070172F">
        <w:tc>
          <w:tcPr>
            <w:tcW w:w="3582" w:type="dxa"/>
            <w:tcBorders>
              <w:top w:val="nil"/>
              <w:left w:val="nil"/>
              <w:bottom w:val="nil"/>
              <w:right w:val="nil"/>
            </w:tcBorders>
          </w:tcPr>
          <w:p w14:paraId="11B8ABA6" w14:textId="77777777" w:rsidR="001E22F0" w:rsidRPr="00FB7493" w:rsidRDefault="001E22F0" w:rsidP="008706BA">
            <w:pPr>
              <w:widowControl w:val="0"/>
              <w:autoSpaceDE w:val="0"/>
              <w:autoSpaceDN w:val="0"/>
              <w:adjustRightInd w:val="0"/>
              <w:ind w:left="-183"/>
            </w:pPr>
            <w:r w:rsidRPr="00FB7493">
              <w:t>M-FC broth/agar</w:t>
            </w:r>
          </w:p>
        </w:tc>
        <w:tc>
          <w:tcPr>
            <w:tcW w:w="980" w:type="dxa"/>
            <w:tcBorders>
              <w:top w:val="nil"/>
              <w:left w:val="nil"/>
              <w:bottom w:val="nil"/>
              <w:right w:val="nil"/>
            </w:tcBorders>
          </w:tcPr>
          <w:p w14:paraId="749DC50F"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639DD4C5" w14:textId="77777777" w:rsidR="001E22F0" w:rsidRPr="00FB7493" w:rsidRDefault="001E22F0" w:rsidP="008706BA">
            <w:pPr>
              <w:widowControl w:val="0"/>
              <w:autoSpaceDE w:val="0"/>
              <w:autoSpaceDN w:val="0"/>
              <w:adjustRightInd w:val="0"/>
              <w:ind w:left="-246" w:right="-327"/>
            </w:pPr>
            <w:r w:rsidRPr="00FB7493">
              <w:t xml:space="preserve">7.4  </w:t>
            </w:r>
            <w:r w:rsidR="00222B5B" w:rsidRPr="00FB7493">
              <w:t>±</w:t>
            </w:r>
            <w:r w:rsidRPr="00FB7493">
              <w:t xml:space="preserve">  0.2</w:t>
            </w:r>
          </w:p>
        </w:tc>
      </w:tr>
      <w:tr w:rsidR="001E22F0" w:rsidRPr="00FB7493" w14:paraId="4F6CD234" w14:textId="77777777" w:rsidTr="0070172F">
        <w:tc>
          <w:tcPr>
            <w:tcW w:w="3582" w:type="dxa"/>
            <w:tcBorders>
              <w:top w:val="nil"/>
              <w:left w:val="nil"/>
              <w:bottom w:val="nil"/>
              <w:right w:val="nil"/>
            </w:tcBorders>
          </w:tcPr>
          <w:p w14:paraId="30882AB9" w14:textId="77777777" w:rsidR="001E22F0" w:rsidRPr="00FB7493" w:rsidRDefault="001E22F0" w:rsidP="008706BA">
            <w:pPr>
              <w:widowControl w:val="0"/>
              <w:autoSpaceDE w:val="0"/>
              <w:autoSpaceDN w:val="0"/>
              <w:adjustRightInd w:val="0"/>
              <w:ind w:left="-183"/>
            </w:pPr>
            <w:r w:rsidRPr="00FB7493">
              <w:t>lauryl tryptose broth</w:t>
            </w:r>
          </w:p>
        </w:tc>
        <w:tc>
          <w:tcPr>
            <w:tcW w:w="980" w:type="dxa"/>
            <w:tcBorders>
              <w:top w:val="nil"/>
              <w:left w:val="nil"/>
              <w:bottom w:val="nil"/>
              <w:right w:val="nil"/>
            </w:tcBorders>
          </w:tcPr>
          <w:p w14:paraId="72DBD5CB"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76A5BDBC" w14:textId="77777777" w:rsidR="001E22F0" w:rsidRPr="00FB7493" w:rsidRDefault="001E22F0" w:rsidP="008706BA">
            <w:pPr>
              <w:widowControl w:val="0"/>
              <w:autoSpaceDE w:val="0"/>
              <w:autoSpaceDN w:val="0"/>
              <w:adjustRightInd w:val="0"/>
              <w:ind w:left="-426" w:right="-327"/>
            </w:pPr>
          </w:p>
        </w:tc>
      </w:tr>
      <w:tr w:rsidR="001E22F0" w:rsidRPr="00FB7493" w14:paraId="11BC682B" w14:textId="77777777" w:rsidTr="0070172F">
        <w:tc>
          <w:tcPr>
            <w:tcW w:w="3582" w:type="dxa"/>
            <w:tcBorders>
              <w:top w:val="nil"/>
              <w:left w:val="nil"/>
              <w:bottom w:val="nil"/>
              <w:right w:val="nil"/>
            </w:tcBorders>
          </w:tcPr>
          <w:p w14:paraId="1CC8E6F1" w14:textId="77777777" w:rsidR="001E22F0" w:rsidRPr="00FB7493" w:rsidRDefault="001E22F0" w:rsidP="008706BA">
            <w:pPr>
              <w:widowControl w:val="0"/>
              <w:autoSpaceDE w:val="0"/>
              <w:autoSpaceDN w:val="0"/>
              <w:adjustRightInd w:val="0"/>
              <w:ind w:left="132"/>
            </w:pPr>
            <w:r w:rsidRPr="00FB7493">
              <w:t>single strength</w:t>
            </w:r>
          </w:p>
        </w:tc>
        <w:tc>
          <w:tcPr>
            <w:tcW w:w="980" w:type="dxa"/>
            <w:tcBorders>
              <w:top w:val="nil"/>
              <w:left w:val="nil"/>
              <w:bottom w:val="nil"/>
              <w:right w:val="nil"/>
            </w:tcBorders>
          </w:tcPr>
          <w:p w14:paraId="62505B0E"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3FC20812" w14:textId="77777777" w:rsidR="001E22F0" w:rsidRPr="00FB7493" w:rsidRDefault="001E22F0" w:rsidP="008706BA">
            <w:pPr>
              <w:widowControl w:val="0"/>
              <w:autoSpaceDE w:val="0"/>
              <w:autoSpaceDN w:val="0"/>
              <w:adjustRightInd w:val="0"/>
              <w:ind w:left="-242" w:right="-327"/>
            </w:pPr>
            <w:r w:rsidRPr="00FB7493">
              <w:t xml:space="preserve">6.8  </w:t>
            </w:r>
            <w:r w:rsidR="00222B5B" w:rsidRPr="00FB7493">
              <w:t>±</w:t>
            </w:r>
            <w:r w:rsidRPr="00FB7493">
              <w:t xml:space="preserve">  0.2</w:t>
            </w:r>
          </w:p>
        </w:tc>
      </w:tr>
      <w:tr w:rsidR="001E22F0" w:rsidRPr="00FB7493" w14:paraId="0A3937BF" w14:textId="77777777" w:rsidTr="00B90B44">
        <w:trPr>
          <w:trHeight w:val="135"/>
        </w:trPr>
        <w:tc>
          <w:tcPr>
            <w:tcW w:w="3582" w:type="dxa"/>
            <w:tcBorders>
              <w:top w:val="nil"/>
              <w:left w:val="nil"/>
              <w:bottom w:val="nil"/>
              <w:right w:val="nil"/>
            </w:tcBorders>
          </w:tcPr>
          <w:p w14:paraId="03F4F3FF" w14:textId="77777777" w:rsidR="001E22F0" w:rsidRPr="00FB7493" w:rsidRDefault="001E22F0" w:rsidP="008706BA">
            <w:pPr>
              <w:widowControl w:val="0"/>
              <w:autoSpaceDE w:val="0"/>
              <w:autoSpaceDN w:val="0"/>
              <w:adjustRightInd w:val="0"/>
              <w:ind w:left="132"/>
            </w:pPr>
            <w:r w:rsidRPr="00FB7493">
              <w:t>double strength</w:t>
            </w:r>
          </w:p>
        </w:tc>
        <w:tc>
          <w:tcPr>
            <w:tcW w:w="980" w:type="dxa"/>
            <w:tcBorders>
              <w:top w:val="nil"/>
              <w:left w:val="nil"/>
              <w:bottom w:val="nil"/>
              <w:right w:val="nil"/>
            </w:tcBorders>
          </w:tcPr>
          <w:p w14:paraId="67411DDB" w14:textId="77777777" w:rsidR="001E22F0" w:rsidRPr="00FB7493" w:rsidRDefault="001E22F0" w:rsidP="008706BA">
            <w:pPr>
              <w:widowControl w:val="0"/>
              <w:autoSpaceDE w:val="0"/>
              <w:autoSpaceDN w:val="0"/>
              <w:adjustRightInd w:val="0"/>
              <w:ind w:left="-453" w:right="-435"/>
            </w:pPr>
          </w:p>
        </w:tc>
        <w:tc>
          <w:tcPr>
            <w:tcW w:w="2290" w:type="dxa"/>
            <w:tcBorders>
              <w:top w:val="nil"/>
              <w:left w:val="nil"/>
              <w:bottom w:val="nil"/>
              <w:right w:val="nil"/>
            </w:tcBorders>
          </w:tcPr>
          <w:p w14:paraId="48233872" w14:textId="1BFAD466" w:rsidR="001E22F0" w:rsidRPr="00FB7493" w:rsidRDefault="00175543" w:rsidP="008706BA">
            <w:pPr>
              <w:widowControl w:val="0"/>
              <w:autoSpaceDE w:val="0"/>
              <w:autoSpaceDN w:val="0"/>
              <w:adjustRightInd w:val="0"/>
              <w:ind w:left="-242" w:right="-327"/>
            </w:pPr>
            <w:r>
              <w:t>6.8</w:t>
            </w:r>
            <w:r w:rsidR="001E22F0" w:rsidRPr="00FB7493">
              <w:t xml:space="preserve">  </w:t>
            </w:r>
            <w:r w:rsidR="00222B5B" w:rsidRPr="00FB7493">
              <w:t>±</w:t>
            </w:r>
            <w:r w:rsidR="001E22F0" w:rsidRPr="00FB7493">
              <w:t xml:space="preserve">  0.2</w:t>
            </w:r>
          </w:p>
        </w:tc>
      </w:tr>
      <w:tr w:rsidR="00B90B44" w:rsidRPr="00FB7493" w14:paraId="7E0CBB32" w14:textId="77777777" w:rsidTr="0070172F">
        <w:tc>
          <w:tcPr>
            <w:tcW w:w="3582" w:type="dxa"/>
            <w:tcBorders>
              <w:top w:val="nil"/>
              <w:left w:val="nil"/>
              <w:bottom w:val="nil"/>
              <w:right w:val="nil"/>
            </w:tcBorders>
          </w:tcPr>
          <w:p w14:paraId="2257DF05" w14:textId="65A8028F" w:rsidR="00B90B44" w:rsidRDefault="00B90B44" w:rsidP="008706BA">
            <w:pPr>
              <w:widowControl w:val="0"/>
              <w:autoSpaceDE w:val="0"/>
              <w:autoSpaceDN w:val="0"/>
              <w:adjustRightInd w:val="0"/>
              <w:ind w:left="132"/>
            </w:pPr>
            <w:r>
              <w:t>triple strength</w:t>
            </w:r>
          </w:p>
        </w:tc>
        <w:tc>
          <w:tcPr>
            <w:tcW w:w="980" w:type="dxa"/>
            <w:tcBorders>
              <w:top w:val="nil"/>
              <w:left w:val="nil"/>
              <w:bottom w:val="nil"/>
              <w:right w:val="nil"/>
            </w:tcBorders>
          </w:tcPr>
          <w:p w14:paraId="201396E3" w14:textId="77777777" w:rsidR="00B90B44" w:rsidRPr="00FB7493" w:rsidRDefault="00B90B44" w:rsidP="008706BA">
            <w:pPr>
              <w:widowControl w:val="0"/>
              <w:autoSpaceDE w:val="0"/>
              <w:autoSpaceDN w:val="0"/>
              <w:adjustRightInd w:val="0"/>
              <w:ind w:left="-453" w:right="-435"/>
            </w:pPr>
          </w:p>
        </w:tc>
        <w:tc>
          <w:tcPr>
            <w:tcW w:w="2290" w:type="dxa"/>
            <w:tcBorders>
              <w:top w:val="nil"/>
              <w:left w:val="nil"/>
              <w:bottom w:val="nil"/>
              <w:right w:val="nil"/>
            </w:tcBorders>
          </w:tcPr>
          <w:p w14:paraId="2A9054AA" w14:textId="730CAC8C" w:rsidR="00B90B44" w:rsidRDefault="00B90B44" w:rsidP="008706BA">
            <w:pPr>
              <w:widowControl w:val="0"/>
              <w:autoSpaceDE w:val="0"/>
              <w:autoSpaceDN w:val="0"/>
              <w:adjustRightInd w:val="0"/>
              <w:ind w:left="-242" w:right="-327"/>
            </w:pPr>
            <w:r>
              <w:t xml:space="preserve">6.8 </w:t>
            </w:r>
            <w:r w:rsidRPr="00FB7493">
              <w:t>±</w:t>
            </w:r>
            <w:r>
              <w:t xml:space="preserve">  0.2</w:t>
            </w:r>
          </w:p>
        </w:tc>
      </w:tr>
      <w:tr w:rsidR="00B90B44" w:rsidRPr="00FB7493" w14:paraId="69B35E85" w14:textId="77777777" w:rsidTr="0070172F">
        <w:tc>
          <w:tcPr>
            <w:tcW w:w="3582" w:type="dxa"/>
            <w:tcBorders>
              <w:top w:val="nil"/>
              <w:left w:val="nil"/>
              <w:bottom w:val="nil"/>
              <w:right w:val="nil"/>
            </w:tcBorders>
          </w:tcPr>
          <w:p w14:paraId="0289E21B" w14:textId="056CFCB0" w:rsidR="00B90B44" w:rsidRDefault="00B90B44" w:rsidP="006A31AE">
            <w:pPr>
              <w:widowControl w:val="0"/>
              <w:autoSpaceDE w:val="0"/>
              <w:autoSpaceDN w:val="0"/>
              <w:adjustRightInd w:val="0"/>
              <w:ind w:left="132" w:hanging="318"/>
            </w:pPr>
            <w:r>
              <w:t>Nutrient agar with MUG</w:t>
            </w:r>
          </w:p>
        </w:tc>
        <w:tc>
          <w:tcPr>
            <w:tcW w:w="980" w:type="dxa"/>
            <w:tcBorders>
              <w:top w:val="nil"/>
              <w:left w:val="nil"/>
              <w:bottom w:val="nil"/>
              <w:right w:val="nil"/>
            </w:tcBorders>
          </w:tcPr>
          <w:p w14:paraId="7EB3DDDA" w14:textId="77777777" w:rsidR="00B90B44" w:rsidRPr="00FB7493" w:rsidRDefault="00B90B44" w:rsidP="008706BA">
            <w:pPr>
              <w:widowControl w:val="0"/>
              <w:autoSpaceDE w:val="0"/>
              <w:autoSpaceDN w:val="0"/>
              <w:adjustRightInd w:val="0"/>
              <w:ind w:left="-453" w:right="-435"/>
            </w:pPr>
          </w:p>
        </w:tc>
        <w:tc>
          <w:tcPr>
            <w:tcW w:w="2290" w:type="dxa"/>
            <w:tcBorders>
              <w:top w:val="nil"/>
              <w:left w:val="nil"/>
              <w:bottom w:val="nil"/>
              <w:right w:val="nil"/>
            </w:tcBorders>
          </w:tcPr>
          <w:p w14:paraId="5552EF4E" w14:textId="34C373F1" w:rsidR="00B90B44" w:rsidRDefault="00B90B44" w:rsidP="008706BA">
            <w:pPr>
              <w:widowControl w:val="0"/>
              <w:autoSpaceDE w:val="0"/>
              <w:autoSpaceDN w:val="0"/>
              <w:adjustRightInd w:val="0"/>
              <w:ind w:left="-242" w:right="-327"/>
            </w:pPr>
            <w:r>
              <w:t xml:space="preserve">6.8  </w:t>
            </w:r>
            <w:r w:rsidRPr="00FB7493">
              <w:t>±</w:t>
            </w:r>
            <w:r>
              <w:t xml:space="preserve">  0.2</w:t>
            </w:r>
          </w:p>
        </w:tc>
      </w:tr>
      <w:tr w:rsidR="00B90B44" w:rsidRPr="00FB7493" w14:paraId="3C29237E" w14:textId="77777777" w:rsidTr="0070172F">
        <w:tc>
          <w:tcPr>
            <w:tcW w:w="3582" w:type="dxa"/>
            <w:tcBorders>
              <w:top w:val="nil"/>
              <w:left w:val="nil"/>
              <w:bottom w:val="nil"/>
              <w:right w:val="nil"/>
            </w:tcBorders>
          </w:tcPr>
          <w:p w14:paraId="21ECCBCC" w14:textId="7BBF16E8" w:rsidR="00B90B44" w:rsidRDefault="006A31AE" w:rsidP="006A31AE">
            <w:pPr>
              <w:widowControl w:val="0"/>
              <w:autoSpaceDE w:val="0"/>
              <w:autoSpaceDN w:val="0"/>
              <w:adjustRightInd w:val="0"/>
              <w:ind w:left="132" w:hanging="318"/>
            </w:pPr>
            <w:r w:rsidRPr="006A31AE">
              <w:t>SimPlate</w:t>
            </w:r>
          </w:p>
        </w:tc>
        <w:tc>
          <w:tcPr>
            <w:tcW w:w="980" w:type="dxa"/>
            <w:tcBorders>
              <w:top w:val="nil"/>
              <w:left w:val="nil"/>
              <w:bottom w:val="nil"/>
              <w:right w:val="nil"/>
            </w:tcBorders>
          </w:tcPr>
          <w:p w14:paraId="145302A4" w14:textId="77777777" w:rsidR="00B90B44" w:rsidRPr="00FB7493" w:rsidRDefault="00B90B44" w:rsidP="008706BA">
            <w:pPr>
              <w:widowControl w:val="0"/>
              <w:autoSpaceDE w:val="0"/>
              <w:autoSpaceDN w:val="0"/>
              <w:adjustRightInd w:val="0"/>
              <w:ind w:left="-453" w:right="-435"/>
            </w:pPr>
          </w:p>
        </w:tc>
        <w:tc>
          <w:tcPr>
            <w:tcW w:w="2290" w:type="dxa"/>
            <w:tcBorders>
              <w:top w:val="nil"/>
              <w:left w:val="nil"/>
              <w:bottom w:val="nil"/>
              <w:right w:val="nil"/>
            </w:tcBorders>
          </w:tcPr>
          <w:p w14:paraId="4F990387" w14:textId="14E15F2E" w:rsidR="00B90B44" w:rsidRDefault="006A31AE" w:rsidP="008706BA">
            <w:pPr>
              <w:widowControl w:val="0"/>
              <w:autoSpaceDE w:val="0"/>
              <w:autoSpaceDN w:val="0"/>
              <w:adjustRightInd w:val="0"/>
              <w:ind w:left="-242" w:right="-327"/>
            </w:pPr>
            <w:r w:rsidRPr="006A31AE">
              <w:t>7.0  ±  0.3</w:t>
            </w:r>
          </w:p>
        </w:tc>
      </w:tr>
      <w:tr w:rsidR="00B90B44" w:rsidRPr="00FB7493" w14:paraId="38464773" w14:textId="77777777" w:rsidTr="0070172F">
        <w:tc>
          <w:tcPr>
            <w:tcW w:w="3582" w:type="dxa"/>
            <w:tcBorders>
              <w:top w:val="nil"/>
              <w:left w:val="nil"/>
              <w:bottom w:val="nil"/>
              <w:right w:val="nil"/>
            </w:tcBorders>
          </w:tcPr>
          <w:p w14:paraId="057AD6E2" w14:textId="45D27404" w:rsidR="00B90B44" w:rsidRDefault="006A31AE" w:rsidP="006A31AE">
            <w:pPr>
              <w:widowControl w:val="0"/>
              <w:autoSpaceDE w:val="0"/>
              <w:autoSpaceDN w:val="0"/>
              <w:adjustRightInd w:val="0"/>
              <w:ind w:left="132" w:hanging="318"/>
            </w:pPr>
            <w:r w:rsidRPr="006A31AE">
              <w:t>Colilert</w:t>
            </w:r>
          </w:p>
        </w:tc>
        <w:tc>
          <w:tcPr>
            <w:tcW w:w="980" w:type="dxa"/>
            <w:tcBorders>
              <w:top w:val="nil"/>
              <w:left w:val="nil"/>
              <w:bottom w:val="nil"/>
              <w:right w:val="nil"/>
            </w:tcBorders>
          </w:tcPr>
          <w:p w14:paraId="549247C9" w14:textId="77777777" w:rsidR="00B90B44" w:rsidRPr="00FB7493" w:rsidRDefault="00B90B44" w:rsidP="008706BA">
            <w:pPr>
              <w:widowControl w:val="0"/>
              <w:autoSpaceDE w:val="0"/>
              <w:autoSpaceDN w:val="0"/>
              <w:adjustRightInd w:val="0"/>
              <w:ind w:left="-453" w:right="-435"/>
            </w:pPr>
          </w:p>
        </w:tc>
        <w:tc>
          <w:tcPr>
            <w:tcW w:w="2290" w:type="dxa"/>
            <w:tcBorders>
              <w:top w:val="nil"/>
              <w:left w:val="nil"/>
              <w:bottom w:val="nil"/>
              <w:right w:val="nil"/>
            </w:tcBorders>
          </w:tcPr>
          <w:p w14:paraId="0AD8BFE4" w14:textId="2BED0DA5" w:rsidR="00B90B44" w:rsidRDefault="006A31AE" w:rsidP="008706BA">
            <w:pPr>
              <w:widowControl w:val="0"/>
              <w:autoSpaceDE w:val="0"/>
              <w:autoSpaceDN w:val="0"/>
              <w:adjustRightInd w:val="0"/>
              <w:ind w:left="-242" w:right="-327"/>
            </w:pPr>
            <w:r w:rsidRPr="006A31AE">
              <w:t>7.3  ±  0.3</w:t>
            </w:r>
          </w:p>
        </w:tc>
      </w:tr>
      <w:tr w:rsidR="00B90B44" w:rsidRPr="00FB7493" w14:paraId="163DDD95" w14:textId="77777777" w:rsidTr="0070172F">
        <w:tc>
          <w:tcPr>
            <w:tcW w:w="3582" w:type="dxa"/>
            <w:tcBorders>
              <w:top w:val="nil"/>
              <w:left w:val="nil"/>
              <w:bottom w:val="nil"/>
              <w:right w:val="nil"/>
            </w:tcBorders>
          </w:tcPr>
          <w:p w14:paraId="7B2FD466" w14:textId="4299EDD2" w:rsidR="00B90B44" w:rsidRDefault="006A31AE" w:rsidP="006A31AE">
            <w:pPr>
              <w:widowControl w:val="0"/>
              <w:autoSpaceDE w:val="0"/>
              <w:autoSpaceDN w:val="0"/>
              <w:adjustRightInd w:val="0"/>
              <w:ind w:left="132" w:hanging="318"/>
            </w:pPr>
            <w:r>
              <w:t>Colilert 18</w:t>
            </w:r>
          </w:p>
        </w:tc>
        <w:tc>
          <w:tcPr>
            <w:tcW w:w="980" w:type="dxa"/>
            <w:tcBorders>
              <w:top w:val="nil"/>
              <w:left w:val="nil"/>
              <w:bottom w:val="nil"/>
              <w:right w:val="nil"/>
            </w:tcBorders>
          </w:tcPr>
          <w:p w14:paraId="74F45426" w14:textId="77777777" w:rsidR="00B90B44" w:rsidRPr="00FB7493" w:rsidRDefault="00B90B44" w:rsidP="008706BA">
            <w:pPr>
              <w:widowControl w:val="0"/>
              <w:autoSpaceDE w:val="0"/>
              <w:autoSpaceDN w:val="0"/>
              <w:adjustRightInd w:val="0"/>
              <w:ind w:left="-453" w:right="-435"/>
            </w:pPr>
          </w:p>
        </w:tc>
        <w:tc>
          <w:tcPr>
            <w:tcW w:w="2290" w:type="dxa"/>
            <w:tcBorders>
              <w:top w:val="nil"/>
              <w:left w:val="nil"/>
              <w:bottom w:val="nil"/>
              <w:right w:val="nil"/>
            </w:tcBorders>
          </w:tcPr>
          <w:p w14:paraId="5C4D22D3" w14:textId="0B1A68D3" w:rsidR="00B90B44" w:rsidRDefault="006A31AE" w:rsidP="008706BA">
            <w:pPr>
              <w:widowControl w:val="0"/>
              <w:autoSpaceDE w:val="0"/>
              <w:autoSpaceDN w:val="0"/>
              <w:adjustRightInd w:val="0"/>
              <w:ind w:left="-242" w:right="-327"/>
            </w:pPr>
            <w:r w:rsidRPr="006A31AE">
              <w:t>7.3  ±  0.3</w:t>
            </w:r>
          </w:p>
        </w:tc>
      </w:tr>
      <w:tr w:rsidR="006A31AE" w:rsidRPr="00FB7493" w14:paraId="69A2EE72" w14:textId="77777777" w:rsidTr="0070172F">
        <w:tc>
          <w:tcPr>
            <w:tcW w:w="3582" w:type="dxa"/>
            <w:tcBorders>
              <w:top w:val="nil"/>
              <w:left w:val="nil"/>
              <w:bottom w:val="nil"/>
              <w:right w:val="nil"/>
            </w:tcBorders>
          </w:tcPr>
          <w:p w14:paraId="27149A41" w14:textId="52434C1E" w:rsidR="006A31AE" w:rsidRDefault="006A31AE" w:rsidP="006A31AE">
            <w:pPr>
              <w:widowControl w:val="0"/>
              <w:autoSpaceDE w:val="0"/>
              <w:autoSpaceDN w:val="0"/>
              <w:adjustRightInd w:val="0"/>
              <w:ind w:left="132" w:hanging="318"/>
            </w:pPr>
            <w:r w:rsidRPr="006A31AE">
              <w:t>Colisure</w:t>
            </w:r>
          </w:p>
        </w:tc>
        <w:tc>
          <w:tcPr>
            <w:tcW w:w="980" w:type="dxa"/>
            <w:tcBorders>
              <w:top w:val="nil"/>
              <w:left w:val="nil"/>
              <w:bottom w:val="nil"/>
              <w:right w:val="nil"/>
            </w:tcBorders>
          </w:tcPr>
          <w:p w14:paraId="5C6E7D76" w14:textId="77777777" w:rsidR="006A31AE" w:rsidRPr="00FB7493" w:rsidRDefault="006A31AE" w:rsidP="008706BA">
            <w:pPr>
              <w:widowControl w:val="0"/>
              <w:autoSpaceDE w:val="0"/>
              <w:autoSpaceDN w:val="0"/>
              <w:adjustRightInd w:val="0"/>
              <w:ind w:left="-453" w:right="-435"/>
            </w:pPr>
          </w:p>
        </w:tc>
        <w:tc>
          <w:tcPr>
            <w:tcW w:w="2290" w:type="dxa"/>
            <w:tcBorders>
              <w:top w:val="nil"/>
              <w:left w:val="nil"/>
              <w:bottom w:val="nil"/>
              <w:right w:val="nil"/>
            </w:tcBorders>
          </w:tcPr>
          <w:p w14:paraId="15D00D82" w14:textId="556B1174" w:rsidR="006A31AE" w:rsidRDefault="006A31AE" w:rsidP="008706BA">
            <w:pPr>
              <w:widowControl w:val="0"/>
              <w:autoSpaceDE w:val="0"/>
              <w:autoSpaceDN w:val="0"/>
              <w:adjustRightInd w:val="0"/>
              <w:ind w:left="-242" w:right="-327"/>
            </w:pPr>
            <w:r w:rsidRPr="006A31AE">
              <w:t>7.3  ±  0.3</w:t>
            </w:r>
          </w:p>
        </w:tc>
      </w:tr>
      <w:tr w:rsidR="006A31AE" w:rsidRPr="00FB7493" w14:paraId="5B508653" w14:textId="77777777" w:rsidTr="0070172F">
        <w:tc>
          <w:tcPr>
            <w:tcW w:w="3582" w:type="dxa"/>
            <w:tcBorders>
              <w:top w:val="nil"/>
              <w:left w:val="nil"/>
              <w:bottom w:val="nil"/>
              <w:right w:val="nil"/>
            </w:tcBorders>
          </w:tcPr>
          <w:p w14:paraId="6E989BDC" w14:textId="4734B300" w:rsidR="006A31AE" w:rsidRDefault="006A31AE" w:rsidP="006A31AE">
            <w:pPr>
              <w:widowControl w:val="0"/>
              <w:autoSpaceDE w:val="0"/>
              <w:autoSpaceDN w:val="0"/>
              <w:adjustRightInd w:val="0"/>
              <w:ind w:left="132" w:hanging="318"/>
            </w:pPr>
            <w:r w:rsidRPr="006A31AE">
              <w:t>E*Colite</w:t>
            </w:r>
          </w:p>
        </w:tc>
        <w:tc>
          <w:tcPr>
            <w:tcW w:w="980" w:type="dxa"/>
            <w:tcBorders>
              <w:top w:val="nil"/>
              <w:left w:val="nil"/>
              <w:bottom w:val="nil"/>
              <w:right w:val="nil"/>
            </w:tcBorders>
          </w:tcPr>
          <w:p w14:paraId="6FA02C39" w14:textId="77777777" w:rsidR="006A31AE" w:rsidRPr="00FB7493" w:rsidRDefault="006A31AE" w:rsidP="008706BA">
            <w:pPr>
              <w:widowControl w:val="0"/>
              <w:autoSpaceDE w:val="0"/>
              <w:autoSpaceDN w:val="0"/>
              <w:adjustRightInd w:val="0"/>
              <w:ind w:left="-453" w:right="-435"/>
            </w:pPr>
          </w:p>
        </w:tc>
        <w:tc>
          <w:tcPr>
            <w:tcW w:w="2290" w:type="dxa"/>
            <w:tcBorders>
              <w:top w:val="nil"/>
              <w:left w:val="nil"/>
              <w:bottom w:val="nil"/>
              <w:right w:val="nil"/>
            </w:tcBorders>
          </w:tcPr>
          <w:p w14:paraId="6ECD76B9" w14:textId="4F991A31" w:rsidR="006A31AE" w:rsidRDefault="006A31AE" w:rsidP="008706BA">
            <w:pPr>
              <w:widowControl w:val="0"/>
              <w:autoSpaceDE w:val="0"/>
              <w:autoSpaceDN w:val="0"/>
              <w:adjustRightInd w:val="0"/>
              <w:ind w:left="-242" w:right="-327"/>
            </w:pPr>
            <w:r w:rsidRPr="006A31AE">
              <w:t>6.9  ±  0.2</w:t>
            </w:r>
          </w:p>
        </w:tc>
      </w:tr>
      <w:tr w:rsidR="006A31AE" w:rsidRPr="00FB7493" w14:paraId="5CE4BDB4" w14:textId="77777777" w:rsidTr="0070172F">
        <w:tc>
          <w:tcPr>
            <w:tcW w:w="3582" w:type="dxa"/>
            <w:tcBorders>
              <w:top w:val="nil"/>
              <w:left w:val="nil"/>
              <w:bottom w:val="nil"/>
              <w:right w:val="nil"/>
            </w:tcBorders>
          </w:tcPr>
          <w:p w14:paraId="2FB7AA7E" w14:textId="582E1EC9" w:rsidR="006A31AE" w:rsidRDefault="006A31AE" w:rsidP="006A31AE">
            <w:pPr>
              <w:widowControl w:val="0"/>
              <w:autoSpaceDE w:val="0"/>
              <w:autoSpaceDN w:val="0"/>
              <w:adjustRightInd w:val="0"/>
              <w:ind w:left="132" w:hanging="318"/>
            </w:pPr>
            <w:r w:rsidRPr="006A31AE">
              <w:t>Readycult</w:t>
            </w:r>
          </w:p>
        </w:tc>
        <w:tc>
          <w:tcPr>
            <w:tcW w:w="980" w:type="dxa"/>
            <w:tcBorders>
              <w:top w:val="nil"/>
              <w:left w:val="nil"/>
              <w:bottom w:val="nil"/>
              <w:right w:val="nil"/>
            </w:tcBorders>
          </w:tcPr>
          <w:p w14:paraId="34147DEA" w14:textId="77777777" w:rsidR="006A31AE" w:rsidRPr="00FB7493" w:rsidRDefault="006A31AE" w:rsidP="008706BA">
            <w:pPr>
              <w:widowControl w:val="0"/>
              <w:autoSpaceDE w:val="0"/>
              <w:autoSpaceDN w:val="0"/>
              <w:adjustRightInd w:val="0"/>
              <w:ind w:left="-453" w:right="-435"/>
            </w:pPr>
          </w:p>
        </w:tc>
        <w:tc>
          <w:tcPr>
            <w:tcW w:w="2290" w:type="dxa"/>
            <w:tcBorders>
              <w:top w:val="nil"/>
              <w:left w:val="nil"/>
              <w:bottom w:val="nil"/>
              <w:right w:val="nil"/>
            </w:tcBorders>
          </w:tcPr>
          <w:p w14:paraId="112F4131" w14:textId="0FA260F6" w:rsidR="006A31AE" w:rsidRDefault="006A31AE" w:rsidP="008706BA">
            <w:pPr>
              <w:widowControl w:val="0"/>
              <w:autoSpaceDE w:val="0"/>
              <w:autoSpaceDN w:val="0"/>
              <w:adjustRightInd w:val="0"/>
              <w:ind w:left="-242" w:right="-327"/>
            </w:pPr>
            <w:r>
              <w:t xml:space="preserve">6.8  </w:t>
            </w:r>
            <w:r w:rsidRPr="00FB7493">
              <w:t>±</w:t>
            </w:r>
            <w:r>
              <w:t xml:space="preserve">  0.2</w:t>
            </w:r>
          </w:p>
        </w:tc>
      </w:tr>
      <w:tr w:rsidR="006A31AE" w:rsidRPr="00FB7493" w14:paraId="54E97E21" w14:textId="77777777" w:rsidTr="0070172F">
        <w:tc>
          <w:tcPr>
            <w:tcW w:w="3582" w:type="dxa"/>
            <w:tcBorders>
              <w:top w:val="nil"/>
              <w:left w:val="nil"/>
              <w:bottom w:val="nil"/>
              <w:right w:val="nil"/>
            </w:tcBorders>
          </w:tcPr>
          <w:p w14:paraId="32C6DD32" w14:textId="01626276" w:rsidR="006A31AE" w:rsidRDefault="006A31AE" w:rsidP="006A31AE">
            <w:pPr>
              <w:widowControl w:val="0"/>
              <w:autoSpaceDE w:val="0"/>
              <w:autoSpaceDN w:val="0"/>
              <w:adjustRightInd w:val="0"/>
              <w:ind w:left="132" w:hanging="318"/>
            </w:pPr>
            <w:r>
              <w:t>Modified Colitag</w:t>
            </w:r>
          </w:p>
        </w:tc>
        <w:tc>
          <w:tcPr>
            <w:tcW w:w="980" w:type="dxa"/>
            <w:tcBorders>
              <w:top w:val="nil"/>
              <w:left w:val="nil"/>
              <w:bottom w:val="nil"/>
              <w:right w:val="nil"/>
            </w:tcBorders>
          </w:tcPr>
          <w:p w14:paraId="1220A20E" w14:textId="77777777" w:rsidR="006A31AE" w:rsidRPr="00FB7493" w:rsidRDefault="006A31AE" w:rsidP="006A31AE">
            <w:pPr>
              <w:widowControl w:val="0"/>
              <w:autoSpaceDE w:val="0"/>
              <w:autoSpaceDN w:val="0"/>
              <w:adjustRightInd w:val="0"/>
              <w:ind w:left="-453" w:right="-435"/>
            </w:pPr>
          </w:p>
        </w:tc>
        <w:tc>
          <w:tcPr>
            <w:tcW w:w="2290" w:type="dxa"/>
            <w:tcBorders>
              <w:top w:val="nil"/>
              <w:left w:val="nil"/>
              <w:bottom w:val="nil"/>
              <w:right w:val="nil"/>
            </w:tcBorders>
          </w:tcPr>
          <w:p w14:paraId="08F5B33A" w14:textId="2319324E" w:rsidR="006A31AE" w:rsidRDefault="006A31AE" w:rsidP="006A31AE">
            <w:pPr>
              <w:widowControl w:val="0"/>
              <w:autoSpaceDE w:val="0"/>
              <w:autoSpaceDN w:val="0"/>
              <w:adjustRightInd w:val="0"/>
              <w:ind w:left="-242" w:right="-327"/>
            </w:pPr>
            <w:r>
              <w:t xml:space="preserve">6.8  </w:t>
            </w:r>
            <w:r w:rsidRPr="00FB7493">
              <w:t>±</w:t>
            </w:r>
            <w:r>
              <w:t xml:space="preserve">  0.2</w:t>
            </w:r>
          </w:p>
        </w:tc>
      </w:tr>
      <w:tr w:rsidR="006A31AE" w:rsidRPr="00FB7493" w14:paraId="4275B8D2" w14:textId="77777777" w:rsidTr="0070172F">
        <w:tc>
          <w:tcPr>
            <w:tcW w:w="3582" w:type="dxa"/>
            <w:tcBorders>
              <w:top w:val="nil"/>
              <w:left w:val="nil"/>
              <w:bottom w:val="nil"/>
              <w:right w:val="nil"/>
            </w:tcBorders>
          </w:tcPr>
          <w:p w14:paraId="207B1382" w14:textId="5293CFB5" w:rsidR="006A31AE" w:rsidRDefault="006A31AE" w:rsidP="006A31AE">
            <w:pPr>
              <w:widowControl w:val="0"/>
              <w:autoSpaceDE w:val="0"/>
              <w:autoSpaceDN w:val="0"/>
              <w:adjustRightInd w:val="0"/>
              <w:ind w:left="132" w:hanging="318"/>
            </w:pPr>
            <w:r>
              <w:t>m-Coliblue</w:t>
            </w:r>
            <w:r w:rsidR="00427E50">
              <w:t xml:space="preserve"> 24</w:t>
            </w:r>
          </w:p>
        </w:tc>
        <w:tc>
          <w:tcPr>
            <w:tcW w:w="980" w:type="dxa"/>
            <w:tcBorders>
              <w:top w:val="nil"/>
              <w:left w:val="nil"/>
              <w:bottom w:val="nil"/>
              <w:right w:val="nil"/>
            </w:tcBorders>
          </w:tcPr>
          <w:p w14:paraId="2CA8266A" w14:textId="77777777" w:rsidR="006A31AE" w:rsidRPr="00FB7493" w:rsidRDefault="006A31AE" w:rsidP="006A31AE">
            <w:pPr>
              <w:widowControl w:val="0"/>
              <w:autoSpaceDE w:val="0"/>
              <w:autoSpaceDN w:val="0"/>
              <w:adjustRightInd w:val="0"/>
              <w:ind w:left="-453" w:right="-435"/>
            </w:pPr>
          </w:p>
        </w:tc>
        <w:tc>
          <w:tcPr>
            <w:tcW w:w="2290" w:type="dxa"/>
            <w:tcBorders>
              <w:top w:val="nil"/>
              <w:left w:val="nil"/>
              <w:bottom w:val="nil"/>
              <w:right w:val="nil"/>
            </w:tcBorders>
          </w:tcPr>
          <w:p w14:paraId="49D66F39" w14:textId="7F477454" w:rsidR="006A31AE" w:rsidRDefault="006A31AE" w:rsidP="006A31AE">
            <w:pPr>
              <w:widowControl w:val="0"/>
              <w:autoSpaceDE w:val="0"/>
              <w:autoSpaceDN w:val="0"/>
              <w:adjustRightInd w:val="0"/>
              <w:ind w:left="-242" w:right="-327"/>
            </w:pPr>
            <w:r>
              <w:t xml:space="preserve">7.0  </w:t>
            </w:r>
            <w:r w:rsidRPr="00FB7493">
              <w:t>±</w:t>
            </w:r>
            <w:r>
              <w:t xml:space="preserve">  0.2</w:t>
            </w:r>
          </w:p>
        </w:tc>
      </w:tr>
      <w:tr w:rsidR="006A31AE" w:rsidRPr="00FB7493" w14:paraId="52933BDC" w14:textId="77777777" w:rsidTr="0070172F">
        <w:tc>
          <w:tcPr>
            <w:tcW w:w="3582" w:type="dxa"/>
            <w:tcBorders>
              <w:top w:val="nil"/>
              <w:left w:val="nil"/>
              <w:bottom w:val="nil"/>
              <w:right w:val="nil"/>
            </w:tcBorders>
          </w:tcPr>
          <w:p w14:paraId="0776C959" w14:textId="0F4D78EA" w:rsidR="006A31AE" w:rsidRDefault="006A31AE" w:rsidP="006A31AE">
            <w:pPr>
              <w:widowControl w:val="0"/>
              <w:autoSpaceDE w:val="0"/>
              <w:autoSpaceDN w:val="0"/>
              <w:adjustRightInd w:val="0"/>
              <w:ind w:left="132" w:hanging="318"/>
            </w:pPr>
            <w:r>
              <w:t>MI agar</w:t>
            </w:r>
          </w:p>
        </w:tc>
        <w:tc>
          <w:tcPr>
            <w:tcW w:w="980" w:type="dxa"/>
            <w:tcBorders>
              <w:top w:val="nil"/>
              <w:left w:val="nil"/>
              <w:bottom w:val="nil"/>
              <w:right w:val="nil"/>
            </w:tcBorders>
          </w:tcPr>
          <w:p w14:paraId="731702E4" w14:textId="77777777" w:rsidR="006A31AE" w:rsidRPr="00FB7493" w:rsidRDefault="006A31AE" w:rsidP="006A31AE">
            <w:pPr>
              <w:widowControl w:val="0"/>
              <w:autoSpaceDE w:val="0"/>
              <w:autoSpaceDN w:val="0"/>
              <w:adjustRightInd w:val="0"/>
              <w:ind w:left="-453" w:right="-435"/>
            </w:pPr>
          </w:p>
        </w:tc>
        <w:tc>
          <w:tcPr>
            <w:tcW w:w="2290" w:type="dxa"/>
            <w:tcBorders>
              <w:top w:val="nil"/>
              <w:left w:val="nil"/>
              <w:bottom w:val="nil"/>
              <w:right w:val="nil"/>
            </w:tcBorders>
          </w:tcPr>
          <w:p w14:paraId="54D6E16F" w14:textId="702B8D06" w:rsidR="006A31AE" w:rsidRDefault="006A31AE" w:rsidP="006A31AE">
            <w:pPr>
              <w:widowControl w:val="0"/>
              <w:autoSpaceDE w:val="0"/>
              <w:autoSpaceDN w:val="0"/>
              <w:adjustRightInd w:val="0"/>
              <w:ind w:left="-242" w:right="-327"/>
            </w:pPr>
            <w:r>
              <w:t xml:space="preserve">6.95  </w:t>
            </w:r>
            <w:r w:rsidRPr="00FB7493">
              <w:t>±</w:t>
            </w:r>
            <w:r>
              <w:t xml:space="preserve">  0.2</w:t>
            </w:r>
          </w:p>
        </w:tc>
      </w:tr>
      <w:tr w:rsidR="006A31AE" w:rsidRPr="00FB7493" w14:paraId="727CFC73" w14:textId="77777777" w:rsidTr="0070172F">
        <w:tc>
          <w:tcPr>
            <w:tcW w:w="3582" w:type="dxa"/>
            <w:tcBorders>
              <w:top w:val="nil"/>
              <w:left w:val="nil"/>
              <w:bottom w:val="nil"/>
              <w:right w:val="nil"/>
            </w:tcBorders>
          </w:tcPr>
          <w:p w14:paraId="5F670924" w14:textId="2FF424EF" w:rsidR="006A31AE" w:rsidRDefault="006A31AE" w:rsidP="006A31AE">
            <w:pPr>
              <w:widowControl w:val="0"/>
              <w:autoSpaceDE w:val="0"/>
              <w:autoSpaceDN w:val="0"/>
              <w:adjustRightInd w:val="0"/>
              <w:ind w:left="132" w:hanging="318"/>
            </w:pPr>
            <w:r>
              <w:t>MI broth</w:t>
            </w:r>
          </w:p>
        </w:tc>
        <w:tc>
          <w:tcPr>
            <w:tcW w:w="980" w:type="dxa"/>
            <w:tcBorders>
              <w:top w:val="nil"/>
              <w:left w:val="nil"/>
              <w:bottom w:val="nil"/>
              <w:right w:val="nil"/>
            </w:tcBorders>
          </w:tcPr>
          <w:p w14:paraId="0ED68B6A" w14:textId="77777777" w:rsidR="006A31AE" w:rsidRPr="00FB7493" w:rsidRDefault="006A31AE" w:rsidP="006A31AE">
            <w:pPr>
              <w:widowControl w:val="0"/>
              <w:autoSpaceDE w:val="0"/>
              <w:autoSpaceDN w:val="0"/>
              <w:adjustRightInd w:val="0"/>
              <w:ind w:left="-453" w:right="-435"/>
            </w:pPr>
          </w:p>
        </w:tc>
        <w:tc>
          <w:tcPr>
            <w:tcW w:w="2290" w:type="dxa"/>
            <w:tcBorders>
              <w:top w:val="nil"/>
              <w:left w:val="nil"/>
              <w:bottom w:val="nil"/>
              <w:right w:val="nil"/>
            </w:tcBorders>
          </w:tcPr>
          <w:p w14:paraId="57AF131C" w14:textId="5599188E" w:rsidR="006A31AE" w:rsidRDefault="006A31AE" w:rsidP="006A31AE">
            <w:pPr>
              <w:widowControl w:val="0"/>
              <w:autoSpaceDE w:val="0"/>
              <w:autoSpaceDN w:val="0"/>
              <w:adjustRightInd w:val="0"/>
              <w:ind w:left="-242" w:right="-327"/>
            </w:pPr>
            <w:r>
              <w:t xml:space="preserve">7.05  </w:t>
            </w:r>
            <w:r w:rsidRPr="00FB7493">
              <w:t>±</w:t>
            </w:r>
            <w:r>
              <w:t xml:space="preserve">  0.2</w:t>
            </w:r>
          </w:p>
        </w:tc>
      </w:tr>
      <w:tr w:rsidR="006A31AE" w:rsidRPr="00FB7493" w14:paraId="3B6525F7" w14:textId="77777777" w:rsidTr="0070172F">
        <w:tc>
          <w:tcPr>
            <w:tcW w:w="3582" w:type="dxa"/>
            <w:tcBorders>
              <w:top w:val="nil"/>
              <w:left w:val="nil"/>
              <w:bottom w:val="nil"/>
              <w:right w:val="nil"/>
            </w:tcBorders>
          </w:tcPr>
          <w:p w14:paraId="4B26E9A4" w14:textId="7477D88A" w:rsidR="006A31AE" w:rsidRDefault="006A31AE" w:rsidP="006A31AE">
            <w:pPr>
              <w:widowControl w:val="0"/>
              <w:autoSpaceDE w:val="0"/>
              <w:autoSpaceDN w:val="0"/>
              <w:adjustRightInd w:val="0"/>
              <w:ind w:left="132" w:hanging="318"/>
            </w:pPr>
            <w:r>
              <w:t>Non-selective broth</w:t>
            </w:r>
          </w:p>
        </w:tc>
        <w:tc>
          <w:tcPr>
            <w:tcW w:w="980" w:type="dxa"/>
            <w:tcBorders>
              <w:top w:val="nil"/>
              <w:left w:val="nil"/>
              <w:bottom w:val="nil"/>
              <w:right w:val="nil"/>
            </w:tcBorders>
          </w:tcPr>
          <w:p w14:paraId="2EDE10FF" w14:textId="77777777" w:rsidR="006A31AE" w:rsidRPr="00FB7493" w:rsidRDefault="006A31AE" w:rsidP="006A31AE">
            <w:pPr>
              <w:widowControl w:val="0"/>
              <w:autoSpaceDE w:val="0"/>
              <w:autoSpaceDN w:val="0"/>
              <w:adjustRightInd w:val="0"/>
              <w:ind w:left="-453" w:right="-435"/>
            </w:pPr>
          </w:p>
        </w:tc>
        <w:tc>
          <w:tcPr>
            <w:tcW w:w="2290" w:type="dxa"/>
            <w:tcBorders>
              <w:top w:val="nil"/>
              <w:left w:val="nil"/>
              <w:bottom w:val="nil"/>
              <w:right w:val="nil"/>
            </w:tcBorders>
          </w:tcPr>
          <w:p w14:paraId="183EC701" w14:textId="4BCA1EA0" w:rsidR="006A31AE" w:rsidRDefault="006A31AE" w:rsidP="006A31AE">
            <w:pPr>
              <w:widowControl w:val="0"/>
              <w:autoSpaceDE w:val="0"/>
              <w:autoSpaceDN w:val="0"/>
              <w:adjustRightInd w:val="0"/>
              <w:ind w:left="-242" w:right="-327"/>
            </w:pPr>
            <w:r>
              <w:t>Per manufacture</w:t>
            </w:r>
            <w:r w:rsidR="00427E50">
              <w:t>r</w:t>
            </w:r>
            <w:r>
              <w:t>s instruction</w:t>
            </w:r>
            <w:r w:rsidR="00682091">
              <w:t>s</w:t>
            </w:r>
          </w:p>
        </w:tc>
      </w:tr>
    </w:tbl>
    <w:p w14:paraId="501C550E" w14:textId="77777777" w:rsidR="001E22F0" w:rsidRPr="00FB7493" w:rsidRDefault="001E22F0" w:rsidP="00E51D96"/>
    <w:p w14:paraId="69F7DC8A" w14:textId="6E89EEAE" w:rsidR="009C3C30" w:rsidRPr="00FB7493" w:rsidRDefault="009C3C30" w:rsidP="009C3C30">
      <w:pPr>
        <w:widowControl w:val="0"/>
        <w:autoSpaceDE w:val="0"/>
        <w:autoSpaceDN w:val="0"/>
        <w:adjustRightInd w:val="0"/>
        <w:ind w:left="1440" w:hanging="720"/>
      </w:pPr>
      <w:r w:rsidRPr="00FB7493">
        <w:t>o)</w:t>
      </w:r>
      <w:r w:rsidRPr="00FB7493">
        <w:tab/>
        <w:t xml:space="preserve">The laboratory using commercially manufactured prepared media shall record the date received, type of medium, lot number, sample performance when checked against cultures known to give positive and negative results, and pH verification per subsection </w:t>
      </w:r>
      <w:r w:rsidR="0070172F">
        <w:t>(n)</w:t>
      </w:r>
      <w:r w:rsidRPr="00FB7493">
        <w:t>.  Media shall be used or discarded by the manufacturer's expiration date.</w:t>
      </w:r>
    </w:p>
    <w:p w14:paraId="64D48DE5" w14:textId="77777777" w:rsidR="009C3C30" w:rsidRPr="00FB7493" w:rsidRDefault="009C3C30" w:rsidP="00E51D96"/>
    <w:p w14:paraId="49547C62" w14:textId="77777777" w:rsidR="009C3C30" w:rsidRPr="00FB7493" w:rsidRDefault="009C3C30" w:rsidP="009C3C30">
      <w:pPr>
        <w:widowControl w:val="0"/>
        <w:autoSpaceDE w:val="0"/>
        <w:autoSpaceDN w:val="0"/>
        <w:adjustRightInd w:val="0"/>
        <w:ind w:left="1440" w:hanging="720"/>
      </w:pPr>
      <w:r w:rsidRPr="00FB7493">
        <w:t>p)</w:t>
      </w:r>
      <w:r w:rsidRPr="00FB7493">
        <w:tab/>
        <w:t>Each new lot of prepared commercial medium and each batch of laboratory prepared medium shall be checked before use with positive and negative culture controls.  Additionally, each batch of prepared media (whether commercially prepared or laboratory prepared) shall be checked for sterility.  Control organisms (e.g.</w:t>
      </w:r>
      <w:r w:rsidR="00016902">
        <w:t>,</w:t>
      </w:r>
      <w:r w:rsidRPr="00FB7493">
        <w:t xml:space="preserve"> total coliform, fecal coliform, and E. coli) shall be either known stock cultures (periodically checked for purity) or commercially available cultures impregnated with the organism. Results shall be recorded. The following table identifies a few positive and negative culture controls that laboratories might consider.</w:t>
      </w:r>
    </w:p>
    <w:p w14:paraId="49348E8C" w14:textId="77777777" w:rsidR="009C3C30" w:rsidRPr="00FB7493" w:rsidRDefault="009C3C30" w:rsidP="00E51D96"/>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793"/>
        <w:gridCol w:w="2940"/>
      </w:tblGrid>
      <w:tr w:rsidR="009C3C30" w:rsidRPr="00FB7493" w14:paraId="29356F64" w14:textId="77777777" w:rsidTr="00016902">
        <w:trPr>
          <w:trHeight w:val="422"/>
        </w:trPr>
        <w:tc>
          <w:tcPr>
            <w:tcW w:w="1425" w:type="dxa"/>
            <w:shd w:val="clear" w:color="auto" w:fill="auto"/>
          </w:tcPr>
          <w:p w14:paraId="004D6DA0" w14:textId="77777777" w:rsidR="009C3C30" w:rsidRPr="00016902" w:rsidRDefault="009C3C30" w:rsidP="00016902">
            <w:pPr>
              <w:jc w:val="center"/>
              <w:rPr>
                <w:b/>
              </w:rPr>
            </w:pPr>
            <w:r w:rsidRPr="00016902">
              <w:rPr>
                <w:b/>
              </w:rPr>
              <w:t>Group</w:t>
            </w:r>
          </w:p>
        </w:tc>
        <w:tc>
          <w:tcPr>
            <w:tcW w:w="2793" w:type="dxa"/>
            <w:shd w:val="clear" w:color="auto" w:fill="auto"/>
          </w:tcPr>
          <w:p w14:paraId="357341A8" w14:textId="77777777" w:rsidR="009C3C30" w:rsidRPr="00016902" w:rsidRDefault="009C3C30" w:rsidP="00016902">
            <w:pPr>
              <w:jc w:val="center"/>
              <w:rPr>
                <w:b/>
              </w:rPr>
            </w:pPr>
            <w:r w:rsidRPr="00016902">
              <w:rPr>
                <w:b/>
              </w:rPr>
              <w:t>Positive Culture Control</w:t>
            </w:r>
          </w:p>
        </w:tc>
        <w:tc>
          <w:tcPr>
            <w:tcW w:w="2940" w:type="dxa"/>
            <w:shd w:val="clear" w:color="auto" w:fill="auto"/>
          </w:tcPr>
          <w:p w14:paraId="21AA9C28" w14:textId="77777777" w:rsidR="009C3C30" w:rsidRPr="00016902" w:rsidRDefault="009C3C30" w:rsidP="00016902">
            <w:pPr>
              <w:jc w:val="center"/>
              <w:rPr>
                <w:b/>
              </w:rPr>
            </w:pPr>
            <w:r w:rsidRPr="00016902">
              <w:rPr>
                <w:b/>
              </w:rPr>
              <w:t>Negative Culture Control</w:t>
            </w:r>
          </w:p>
        </w:tc>
      </w:tr>
      <w:tr w:rsidR="009C3C30" w:rsidRPr="00FB7493" w14:paraId="010C65FC" w14:textId="77777777" w:rsidTr="00016902">
        <w:tc>
          <w:tcPr>
            <w:tcW w:w="1425" w:type="dxa"/>
            <w:shd w:val="clear" w:color="auto" w:fill="auto"/>
          </w:tcPr>
          <w:p w14:paraId="01FF2666" w14:textId="77777777" w:rsidR="009C3C30" w:rsidRPr="00FB7493" w:rsidRDefault="009C3C30" w:rsidP="009C3C30">
            <w:pPr>
              <w:ind w:left="-24"/>
            </w:pPr>
            <w:r w:rsidRPr="00FB7493">
              <w:t>Total Coliforms</w:t>
            </w:r>
          </w:p>
        </w:tc>
        <w:tc>
          <w:tcPr>
            <w:tcW w:w="2793" w:type="dxa"/>
            <w:shd w:val="clear" w:color="auto" w:fill="auto"/>
          </w:tcPr>
          <w:p w14:paraId="3470CD14" w14:textId="77777777" w:rsidR="009C3C30" w:rsidRPr="00FB7493" w:rsidRDefault="009C3C30" w:rsidP="009C3C30">
            <w:pPr>
              <w:ind w:left="-24"/>
            </w:pPr>
            <w:r w:rsidRPr="00FB7493">
              <w:t>Escherichia coli</w:t>
            </w:r>
          </w:p>
          <w:p w14:paraId="667850AE" w14:textId="3C966FF0" w:rsidR="009C3C30" w:rsidRPr="00FB7493" w:rsidRDefault="00AE3DDC" w:rsidP="009C3C30">
            <w:pPr>
              <w:ind w:left="-24"/>
            </w:pPr>
            <w:r>
              <w:t>Klebsiella</w:t>
            </w:r>
            <w:r w:rsidR="009C3C30" w:rsidRPr="00FB7493">
              <w:t xml:space="preserve"> aerogenes</w:t>
            </w:r>
          </w:p>
        </w:tc>
        <w:tc>
          <w:tcPr>
            <w:tcW w:w="2940" w:type="dxa"/>
            <w:shd w:val="clear" w:color="auto" w:fill="auto"/>
          </w:tcPr>
          <w:p w14:paraId="30BC20F1" w14:textId="77777777" w:rsidR="009C3C30" w:rsidRPr="00FB7493" w:rsidRDefault="009C3C30" w:rsidP="009C3C30">
            <w:pPr>
              <w:ind w:left="-24"/>
            </w:pPr>
            <w:r w:rsidRPr="00FB7493">
              <w:t>Staphylococcus aureus</w:t>
            </w:r>
          </w:p>
          <w:p w14:paraId="3C488F73" w14:textId="77777777" w:rsidR="009C3C30" w:rsidRPr="00FB7493" w:rsidRDefault="009C3C30" w:rsidP="009C3C30">
            <w:pPr>
              <w:ind w:left="-24"/>
            </w:pPr>
            <w:r w:rsidRPr="00FB7493">
              <w:t>Proteus vulgaris</w:t>
            </w:r>
          </w:p>
          <w:p w14:paraId="46B3F6B5" w14:textId="77777777" w:rsidR="009C3C30" w:rsidRPr="00FB7493" w:rsidRDefault="009C3C30" w:rsidP="009C3C30">
            <w:pPr>
              <w:ind w:left="-24"/>
            </w:pPr>
            <w:r w:rsidRPr="00FB7493">
              <w:t>Pseudomonas aeruginosa</w:t>
            </w:r>
          </w:p>
        </w:tc>
      </w:tr>
      <w:tr w:rsidR="009C3C30" w:rsidRPr="00FB7493" w14:paraId="375722D8" w14:textId="77777777" w:rsidTr="00016902">
        <w:tc>
          <w:tcPr>
            <w:tcW w:w="1425" w:type="dxa"/>
            <w:shd w:val="clear" w:color="auto" w:fill="auto"/>
          </w:tcPr>
          <w:p w14:paraId="53B11B0F" w14:textId="77777777" w:rsidR="009C3C30" w:rsidRPr="00FB7493" w:rsidRDefault="009C3C30" w:rsidP="009C3C30">
            <w:pPr>
              <w:ind w:left="-24"/>
            </w:pPr>
            <w:r w:rsidRPr="00FB7493">
              <w:t>Fecal Coliforms</w:t>
            </w:r>
          </w:p>
        </w:tc>
        <w:tc>
          <w:tcPr>
            <w:tcW w:w="2793" w:type="dxa"/>
            <w:shd w:val="clear" w:color="auto" w:fill="auto"/>
          </w:tcPr>
          <w:p w14:paraId="4C67F63A" w14:textId="77777777" w:rsidR="009C3C30" w:rsidRPr="00FB7493" w:rsidRDefault="009C3C30" w:rsidP="009C3C30">
            <w:pPr>
              <w:ind w:left="-24"/>
            </w:pPr>
            <w:r w:rsidRPr="00FB7493">
              <w:t>Escherichia coli</w:t>
            </w:r>
          </w:p>
          <w:p w14:paraId="4B5DE3F7" w14:textId="77777777" w:rsidR="009C3C30" w:rsidRPr="00FB7493" w:rsidRDefault="009C3C30" w:rsidP="009C3C30">
            <w:pPr>
              <w:ind w:left="-24"/>
            </w:pPr>
            <w:r w:rsidRPr="00FB7493">
              <w:t>Klebsiella pneumoniae</w:t>
            </w:r>
          </w:p>
          <w:p w14:paraId="6BFF4CD9" w14:textId="77777777" w:rsidR="009C3C30" w:rsidRPr="00FB7493" w:rsidRDefault="009C3C30" w:rsidP="009C3C30">
            <w:pPr>
              <w:ind w:left="-24"/>
            </w:pPr>
            <w:r w:rsidRPr="00FB7493">
              <w:t>(thermotolerant)</w:t>
            </w:r>
          </w:p>
        </w:tc>
        <w:tc>
          <w:tcPr>
            <w:tcW w:w="2940" w:type="dxa"/>
            <w:shd w:val="clear" w:color="auto" w:fill="auto"/>
          </w:tcPr>
          <w:p w14:paraId="3C342408" w14:textId="725130C3" w:rsidR="009C3C30" w:rsidRPr="00FB7493" w:rsidRDefault="007768F5" w:rsidP="009C3C30">
            <w:pPr>
              <w:ind w:left="-24"/>
            </w:pPr>
            <w:r>
              <w:t>Klebsiella</w:t>
            </w:r>
            <w:r w:rsidR="009C3C30" w:rsidRPr="00FB7493">
              <w:t xml:space="preserve"> aerogenes</w:t>
            </w:r>
          </w:p>
        </w:tc>
      </w:tr>
      <w:tr w:rsidR="009C3C30" w:rsidRPr="00FB7493" w14:paraId="736D77A9" w14:textId="77777777" w:rsidTr="00016902">
        <w:tc>
          <w:tcPr>
            <w:tcW w:w="1425" w:type="dxa"/>
            <w:shd w:val="clear" w:color="auto" w:fill="auto"/>
          </w:tcPr>
          <w:p w14:paraId="24E08D70" w14:textId="77777777" w:rsidR="009C3C30" w:rsidRPr="00FB7493" w:rsidRDefault="009C3C30" w:rsidP="009C3C30">
            <w:pPr>
              <w:ind w:left="-24"/>
            </w:pPr>
            <w:r w:rsidRPr="00FB7493">
              <w:t>E. coli</w:t>
            </w:r>
          </w:p>
        </w:tc>
        <w:tc>
          <w:tcPr>
            <w:tcW w:w="2793" w:type="dxa"/>
            <w:shd w:val="clear" w:color="auto" w:fill="auto"/>
          </w:tcPr>
          <w:p w14:paraId="559EDAC7" w14:textId="77777777" w:rsidR="009C3C30" w:rsidRPr="00FB7493" w:rsidRDefault="009C3C30" w:rsidP="009C3C30">
            <w:pPr>
              <w:ind w:left="-24"/>
            </w:pPr>
            <w:r w:rsidRPr="00FB7493">
              <w:t>Escherichia coli</w:t>
            </w:r>
          </w:p>
          <w:p w14:paraId="4A3BDD02" w14:textId="77777777" w:rsidR="009C3C30" w:rsidRPr="00FB7493" w:rsidRDefault="009C3C30" w:rsidP="009C3C30">
            <w:pPr>
              <w:ind w:left="-24"/>
            </w:pPr>
            <w:r w:rsidRPr="00FB7493">
              <w:lastRenderedPageBreak/>
              <w:t>(MUG-positive strain)</w:t>
            </w:r>
          </w:p>
        </w:tc>
        <w:tc>
          <w:tcPr>
            <w:tcW w:w="2940" w:type="dxa"/>
            <w:shd w:val="clear" w:color="auto" w:fill="auto"/>
          </w:tcPr>
          <w:p w14:paraId="759A71F6" w14:textId="2FC89C3B" w:rsidR="009C3C30" w:rsidRPr="00FB7493" w:rsidRDefault="007768F5" w:rsidP="009C3C30">
            <w:pPr>
              <w:ind w:left="-24"/>
            </w:pPr>
            <w:r>
              <w:lastRenderedPageBreak/>
              <w:t>Klebsiella</w:t>
            </w:r>
            <w:r w:rsidR="009C3C30" w:rsidRPr="00FB7493">
              <w:t xml:space="preserve"> aerogenes</w:t>
            </w:r>
          </w:p>
          <w:p w14:paraId="4112DB36" w14:textId="77777777" w:rsidR="009C3C30" w:rsidRPr="00FB7493" w:rsidRDefault="009C3C30" w:rsidP="009C3C30">
            <w:pPr>
              <w:ind w:left="-24"/>
            </w:pPr>
            <w:r w:rsidRPr="00FB7493">
              <w:lastRenderedPageBreak/>
              <w:t>Klebsiella pneumoniae</w:t>
            </w:r>
          </w:p>
          <w:p w14:paraId="0B706F60" w14:textId="77777777" w:rsidR="009C3C30" w:rsidRPr="00FB7493" w:rsidRDefault="009C3C30" w:rsidP="009C3C30">
            <w:pPr>
              <w:ind w:left="-24"/>
            </w:pPr>
            <w:r w:rsidRPr="00FB7493">
              <w:t>(thermotolerant)</w:t>
            </w:r>
          </w:p>
        </w:tc>
      </w:tr>
      <w:tr w:rsidR="009C3C30" w:rsidRPr="00FB7493" w14:paraId="056C2992" w14:textId="77777777" w:rsidTr="00016902">
        <w:tc>
          <w:tcPr>
            <w:tcW w:w="1425" w:type="dxa"/>
            <w:shd w:val="clear" w:color="auto" w:fill="auto"/>
          </w:tcPr>
          <w:p w14:paraId="49947AAA" w14:textId="77777777" w:rsidR="009C3C30" w:rsidRPr="00FB7493" w:rsidRDefault="009C3C30" w:rsidP="009C3C30">
            <w:pPr>
              <w:ind w:left="-24"/>
            </w:pPr>
            <w:r w:rsidRPr="00FB7493">
              <w:lastRenderedPageBreak/>
              <w:t>Enterococci</w:t>
            </w:r>
          </w:p>
        </w:tc>
        <w:tc>
          <w:tcPr>
            <w:tcW w:w="2793" w:type="dxa"/>
            <w:shd w:val="clear" w:color="auto" w:fill="auto"/>
          </w:tcPr>
          <w:p w14:paraId="6032B7BA" w14:textId="77777777" w:rsidR="009C3C30" w:rsidRPr="00FB7493" w:rsidRDefault="009C3C30" w:rsidP="009C3C30">
            <w:pPr>
              <w:ind w:left="-24"/>
            </w:pPr>
            <w:r w:rsidRPr="00FB7493">
              <w:t>Enterococcus faecalis</w:t>
            </w:r>
          </w:p>
          <w:p w14:paraId="14BF50F6" w14:textId="77777777" w:rsidR="009C3C30" w:rsidRPr="00FB7493" w:rsidRDefault="009C3C30" w:rsidP="009C3C30">
            <w:pPr>
              <w:ind w:left="-24"/>
            </w:pPr>
            <w:r w:rsidRPr="00FB7493">
              <w:t>Enterococcus faecium</w:t>
            </w:r>
          </w:p>
          <w:p w14:paraId="0A91A08C" w14:textId="77777777" w:rsidR="009C3C30" w:rsidRPr="00FB7493" w:rsidRDefault="009C3C30" w:rsidP="009C3C30">
            <w:pPr>
              <w:ind w:left="-24"/>
            </w:pPr>
          </w:p>
        </w:tc>
        <w:tc>
          <w:tcPr>
            <w:tcW w:w="2940" w:type="dxa"/>
            <w:shd w:val="clear" w:color="auto" w:fill="auto"/>
          </w:tcPr>
          <w:p w14:paraId="0FC8D0A9" w14:textId="77777777" w:rsidR="009C3C30" w:rsidRPr="00FB7493" w:rsidRDefault="009C3C30" w:rsidP="009C3C30">
            <w:pPr>
              <w:ind w:left="-24"/>
            </w:pPr>
            <w:r w:rsidRPr="00FB7493">
              <w:t>Staphylococcus aureus</w:t>
            </w:r>
          </w:p>
          <w:p w14:paraId="25F9A6E8" w14:textId="77777777" w:rsidR="009C3C30" w:rsidRPr="00FB7493" w:rsidRDefault="009C3C30" w:rsidP="009C3C30">
            <w:pPr>
              <w:ind w:left="-24"/>
            </w:pPr>
            <w:r w:rsidRPr="00FB7493">
              <w:t>Escherichia coli</w:t>
            </w:r>
          </w:p>
          <w:p w14:paraId="7584DF01" w14:textId="77777777" w:rsidR="009C3C30" w:rsidRPr="00FB7493" w:rsidRDefault="009C3C30" w:rsidP="009C3C30">
            <w:pPr>
              <w:ind w:left="-24"/>
            </w:pPr>
            <w:r w:rsidRPr="00FB7493">
              <w:t>Serratia marcesens</w:t>
            </w:r>
          </w:p>
        </w:tc>
      </w:tr>
    </w:tbl>
    <w:p w14:paraId="2183716D" w14:textId="77777777" w:rsidR="009C3C30" w:rsidRPr="00FB7493" w:rsidRDefault="009C3C30" w:rsidP="00E51D96"/>
    <w:p w14:paraId="4AA31C98" w14:textId="77777777" w:rsidR="009C3C30" w:rsidRPr="00FB7493" w:rsidRDefault="009C3C30" w:rsidP="009C3C30">
      <w:pPr>
        <w:ind w:left="1440" w:hanging="720"/>
      </w:pPr>
      <w:r w:rsidRPr="00FB7493">
        <w:t>q)</w:t>
      </w:r>
      <w:r w:rsidRPr="00FB7493">
        <w:tab/>
        <w:t>Examples of appropriate American Type Culture Collection (ATCC) strains include the following:</w:t>
      </w:r>
    </w:p>
    <w:p w14:paraId="6E8CBD52" w14:textId="77777777" w:rsidR="009C3C30" w:rsidRPr="00FB7493" w:rsidRDefault="009C3C30" w:rsidP="00E51D96"/>
    <w:p w14:paraId="2847E548" w14:textId="77777777" w:rsidR="009C3C30" w:rsidRPr="00FB7493" w:rsidRDefault="009C3C30" w:rsidP="009C3C30">
      <w:pPr>
        <w:ind w:left="2160"/>
      </w:pPr>
      <w:r w:rsidRPr="00FB7493">
        <w:t>Enterococcus faecalis ATCC 11700</w:t>
      </w:r>
    </w:p>
    <w:p w14:paraId="6933C39C" w14:textId="77777777" w:rsidR="009C3C30" w:rsidRPr="00FB7493" w:rsidRDefault="009C3C30" w:rsidP="009C3C30">
      <w:pPr>
        <w:ind w:left="2160"/>
      </w:pPr>
      <w:r w:rsidRPr="00FB7493">
        <w:t>Enterococcus faecium ATCC 6057</w:t>
      </w:r>
    </w:p>
    <w:p w14:paraId="01E42A51" w14:textId="3E1E52C8" w:rsidR="009C3C30" w:rsidRPr="00FB7493" w:rsidRDefault="0070172F" w:rsidP="009C3C30">
      <w:pPr>
        <w:ind w:left="2160"/>
      </w:pPr>
      <w:r>
        <w:t>Klebsiella</w:t>
      </w:r>
      <w:r w:rsidR="009C3C30" w:rsidRPr="00FB7493">
        <w:t xml:space="preserve"> aerogenes ATCC 13048</w:t>
      </w:r>
    </w:p>
    <w:p w14:paraId="29381575" w14:textId="77777777" w:rsidR="009C3C30" w:rsidRPr="00FB7493" w:rsidRDefault="009C3C30" w:rsidP="009C3C30">
      <w:pPr>
        <w:ind w:left="2160"/>
      </w:pPr>
      <w:r w:rsidRPr="00FB7493">
        <w:t>Escherichia coli ATCC 8739 or 25922</w:t>
      </w:r>
    </w:p>
    <w:p w14:paraId="679BED8A" w14:textId="77777777" w:rsidR="009C3C30" w:rsidRPr="00FB7493" w:rsidRDefault="009C3C30" w:rsidP="009C3C30">
      <w:pPr>
        <w:ind w:left="2160"/>
      </w:pPr>
      <w:r w:rsidRPr="00FB7493">
        <w:t>Klebsiella pneumoniae (thermotolerant) ATCC 13883</w:t>
      </w:r>
    </w:p>
    <w:p w14:paraId="63F4B547" w14:textId="2C5AAA35" w:rsidR="009C3C30" w:rsidRPr="00FB7493" w:rsidRDefault="009C3C30" w:rsidP="009C3C30">
      <w:pPr>
        <w:ind w:left="2160"/>
      </w:pPr>
      <w:r w:rsidRPr="00FB7493">
        <w:t xml:space="preserve">Proteus vulgaris ATCC </w:t>
      </w:r>
      <w:r w:rsidR="0070172F">
        <w:t>29905</w:t>
      </w:r>
    </w:p>
    <w:p w14:paraId="3DDB3F15" w14:textId="77777777" w:rsidR="009C3C30" w:rsidRPr="00FB7493" w:rsidRDefault="009C3C30" w:rsidP="009C3C30">
      <w:pPr>
        <w:ind w:left="2160"/>
      </w:pPr>
      <w:r w:rsidRPr="00FB7493">
        <w:t>Pseudomonas aeruginosa ATCC 27853</w:t>
      </w:r>
    </w:p>
    <w:p w14:paraId="1F0FDDC0" w14:textId="77777777" w:rsidR="009C3C30" w:rsidRPr="00FB7493" w:rsidRDefault="009C3C30" w:rsidP="009C3C30">
      <w:pPr>
        <w:ind w:left="2160"/>
      </w:pPr>
      <w:r w:rsidRPr="00FB7493">
        <w:t>Serratia marcesenes ATCC 14756</w:t>
      </w:r>
    </w:p>
    <w:p w14:paraId="3EBACF6A" w14:textId="77777777" w:rsidR="009C3C30" w:rsidRPr="00FB7493" w:rsidRDefault="009C3C30" w:rsidP="009C3C30">
      <w:pPr>
        <w:ind w:left="2160"/>
      </w:pPr>
      <w:r w:rsidRPr="00FB7493">
        <w:t>Staphylococcus aureus ATCC 6538</w:t>
      </w:r>
    </w:p>
    <w:p w14:paraId="1FB3E5FC" w14:textId="77777777" w:rsidR="009C3C30" w:rsidRPr="00FB7493" w:rsidRDefault="009C3C30" w:rsidP="00E51D96"/>
    <w:p w14:paraId="538AAB2B" w14:textId="77777777" w:rsidR="001E22F0" w:rsidRPr="00FB7493" w:rsidRDefault="009C3C30" w:rsidP="001E22F0">
      <w:pPr>
        <w:widowControl w:val="0"/>
        <w:autoSpaceDE w:val="0"/>
        <w:autoSpaceDN w:val="0"/>
        <w:adjustRightInd w:val="0"/>
        <w:ind w:left="1440" w:hanging="720"/>
      </w:pPr>
      <w:r w:rsidRPr="00FB7493">
        <w:t>r</w:t>
      </w:r>
      <w:r w:rsidR="001E22F0" w:rsidRPr="00FB7493">
        <w:t>)</w:t>
      </w:r>
      <w:r w:rsidR="001E22F0" w:rsidRPr="00FB7493">
        <w:tab/>
      </w:r>
      <w:r w:rsidR="00D21694" w:rsidRPr="00FB7493">
        <w:t>Lactose broth may be used in lieu of LTB if the laboratory conducts at least 25 parallel tests between this medium and LTB using water normally tested and this comparison demonstrates that the false-positive rate and false-negative rate for total coliforms, using lactose broth, is less than 10%.</w:t>
      </w:r>
      <w:r w:rsidR="001E22F0" w:rsidRPr="00FB7493">
        <w:t xml:space="preserve"> </w:t>
      </w:r>
    </w:p>
    <w:p w14:paraId="09D57A6C" w14:textId="77777777" w:rsidR="00176424" w:rsidRPr="00FB7493" w:rsidRDefault="00176424" w:rsidP="00E51D96"/>
    <w:p w14:paraId="5DC646FE" w14:textId="2D408E25" w:rsidR="001E22F0" w:rsidRPr="00FB7493" w:rsidRDefault="009C3C30" w:rsidP="001E22F0">
      <w:pPr>
        <w:widowControl w:val="0"/>
        <w:autoSpaceDE w:val="0"/>
        <w:autoSpaceDN w:val="0"/>
        <w:adjustRightInd w:val="0"/>
        <w:ind w:left="1440" w:hanging="720"/>
      </w:pPr>
      <w:r w:rsidRPr="00FB7493">
        <w:t>s</w:t>
      </w:r>
      <w:r w:rsidR="001E22F0" w:rsidRPr="00FB7493">
        <w:t>)</w:t>
      </w:r>
      <w:r w:rsidR="001E22F0" w:rsidRPr="00FB7493">
        <w:tab/>
        <w:t xml:space="preserve">A maximum registering thermometer </w:t>
      </w:r>
      <w:r w:rsidR="0070172F">
        <w:t xml:space="preserve">or data logger </w:t>
      </w:r>
      <w:r w:rsidR="001E22F0" w:rsidRPr="00FB7493">
        <w:t xml:space="preserve">shall be used </w:t>
      </w:r>
      <w:r w:rsidR="00D21694" w:rsidRPr="00FB7493">
        <w:t>during each autoclave and hot air oven cycle</w:t>
      </w:r>
      <w:r w:rsidR="001E22F0" w:rsidRPr="00FB7493">
        <w:t xml:space="preserve"> to verify sterilization temperatures</w:t>
      </w:r>
      <w:r w:rsidR="00D21694" w:rsidRPr="00FB7493">
        <w:t>.</w:t>
      </w:r>
      <w:r w:rsidR="001E22F0" w:rsidRPr="00FB7493">
        <w:t xml:space="preserve">  </w:t>
      </w:r>
      <w:r w:rsidR="0070172F" w:rsidRPr="00E1138C">
        <w:t>An exception to this rule would be an autoclave that has a printout of temperature that has been calibrated annually by an outside service with a NIST thermometer.</w:t>
      </w:r>
      <w:r w:rsidR="0070172F">
        <w:t xml:space="preserve">  </w:t>
      </w:r>
      <w:r w:rsidR="001E22F0" w:rsidRPr="00FB7493">
        <w:t xml:space="preserve">The oven maximum registering thermometer shall be placed in sand. The autoclave maximum registering </w:t>
      </w:r>
      <w:r w:rsidR="0070172F" w:rsidRPr="00D54451">
        <w:t>thermometer</w:t>
      </w:r>
      <w:r w:rsidR="0070172F" w:rsidRPr="0070172F">
        <w:t xml:space="preserve"> </w:t>
      </w:r>
      <w:r w:rsidR="0070172F" w:rsidRPr="00D54451">
        <w:t>or data logger</w:t>
      </w:r>
      <w:r w:rsidR="001E22F0" w:rsidRPr="00FB7493">
        <w:t xml:space="preserve"> shall be placed in a container of water</w:t>
      </w:r>
      <w:r w:rsidR="0070172F" w:rsidRPr="00D54451">
        <w:t>, unless otherwise specified by manufacturer’s instructions</w:t>
      </w:r>
      <w:r w:rsidR="001E22F0" w:rsidRPr="00FB7493">
        <w:t xml:space="preserve">. </w:t>
      </w:r>
      <w:r w:rsidRPr="00FB7493">
        <w:t>Spore strips or ampules shall be used monthly</w:t>
      </w:r>
      <w:r w:rsidR="0070172F">
        <w:t>, when in use,</w:t>
      </w:r>
      <w:r w:rsidRPr="00FB7493">
        <w:t xml:space="preserve"> to confirm sterilization of the autoclave.</w:t>
      </w:r>
      <w:r w:rsidR="001E22F0" w:rsidRPr="00FB7493">
        <w:t xml:space="preserve"> </w:t>
      </w:r>
      <w:r w:rsidR="00111AF9" w:rsidRPr="00FB7493">
        <w:t xml:space="preserve">Spore strips shall be used monthly to confirm sterilization for the hot air oven. </w:t>
      </w:r>
      <w:r w:rsidRPr="00FB7493">
        <w:t>Ampules shall not be used in the hot air oven</w:t>
      </w:r>
      <w:r w:rsidR="00111AF9" w:rsidRPr="00FB7493">
        <w:t xml:space="preserve"> because they may explode or melt. </w:t>
      </w:r>
      <w:r w:rsidRPr="00FB7493">
        <w:t xml:space="preserve">Strips or ampules that have not been placed in the autoclave or hot air oven shall be used as positive controls each time the sterilization is checked.  </w:t>
      </w:r>
      <w:r w:rsidR="001E22F0" w:rsidRPr="00FB7493">
        <w:t xml:space="preserve">A record of these results shall be maintained to include the date, material sterilized, and the initials of the analyst involved. </w:t>
      </w:r>
      <w:r w:rsidRPr="00FB7493">
        <w:t>Automatic</w:t>
      </w:r>
      <w:r w:rsidR="001E22F0" w:rsidRPr="00FB7493">
        <w:t xml:space="preserve"> timing mechanisms on autoclaves </w:t>
      </w:r>
      <w:r w:rsidRPr="00FB7493">
        <w:t xml:space="preserve">shall be checked </w:t>
      </w:r>
      <w:r w:rsidR="001E22F0" w:rsidRPr="00FB7493">
        <w:t xml:space="preserve">quarterly with a stopwatch. For a 15-minute sterilization period, the autoclave time shall be within 60 seconds of the </w:t>
      </w:r>
      <w:r w:rsidRPr="00FB7493">
        <w:t>stopwatch</w:t>
      </w:r>
      <w:r w:rsidR="001E22F0" w:rsidRPr="00FB7493">
        <w:t xml:space="preserve"> time. </w:t>
      </w:r>
      <w:r w:rsidR="0070172F">
        <w:t xml:space="preserve"> </w:t>
      </w:r>
      <w:r w:rsidR="0070172F" w:rsidRPr="0079523B">
        <w:t>An exception to this rule would be a data logger or an autoclave that has a printout of time that has been calibrated annually by an outside service.</w:t>
      </w:r>
    </w:p>
    <w:p w14:paraId="1A9E5C3C" w14:textId="77777777" w:rsidR="00176424" w:rsidRPr="00FB7493" w:rsidRDefault="00176424" w:rsidP="00E51D96"/>
    <w:p w14:paraId="48453B18" w14:textId="77777777" w:rsidR="001E22F0" w:rsidRPr="00FB7493" w:rsidRDefault="009C3C30" w:rsidP="001E22F0">
      <w:pPr>
        <w:widowControl w:val="0"/>
        <w:autoSpaceDE w:val="0"/>
        <w:autoSpaceDN w:val="0"/>
        <w:adjustRightInd w:val="0"/>
        <w:ind w:left="1440" w:hanging="720"/>
      </w:pPr>
      <w:r w:rsidRPr="00FB7493">
        <w:t>t</w:t>
      </w:r>
      <w:r w:rsidR="001E22F0" w:rsidRPr="00FB7493">
        <w:t>)</w:t>
      </w:r>
      <w:r w:rsidR="001E22F0" w:rsidRPr="00FB7493">
        <w:tab/>
        <w:t xml:space="preserve">When </w:t>
      </w:r>
      <w:r w:rsidR="00111AF9" w:rsidRPr="00FB7493">
        <w:t xml:space="preserve">a </w:t>
      </w:r>
      <w:r w:rsidR="001E22F0" w:rsidRPr="00FB7493">
        <w:t>media</w:t>
      </w:r>
      <w:r w:rsidR="00111AF9" w:rsidRPr="00FB7493">
        <w:t>-</w:t>
      </w:r>
      <w:r w:rsidR="001E22F0" w:rsidRPr="00FB7493">
        <w:t xml:space="preserve">dispensing apparatus is used, the media preparer shall check and maintain a record of the accuracy of the dispenser with a graduated cylinder at the start of each volume change and periodically throughout extended runs. </w:t>
      </w:r>
    </w:p>
    <w:p w14:paraId="22F8E4A2" w14:textId="77777777" w:rsidR="00176424" w:rsidRPr="00FB7493" w:rsidRDefault="00176424" w:rsidP="00E51D96"/>
    <w:p w14:paraId="4167D752" w14:textId="77777777" w:rsidR="009C3C30" w:rsidRPr="00FB7493" w:rsidRDefault="009C3C30" w:rsidP="001E22F0">
      <w:pPr>
        <w:widowControl w:val="0"/>
        <w:autoSpaceDE w:val="0"/>
        <w:autoSpaceDN w:val="0"/>
        <w:adjustRightInd w:val="0"/>
        <w:ind w:left="1440" w:hanging="720"/>
      </w:pPr>
      <w:r w:rsidRPr="00FB7493">
        <w:t>u)</w:t>
      </w:r>
      <w:r w:rsidRPr="00FB7493">
        <w:tab/>
        <w:t>Micropipettors shall be calibrated annually and replaced if the precision or accuracy is greater than 2.5% tolerance. Micropipettors shall be calibrated with 10 consecutive weighings annually (using a separate tip for each weighing), and the average of all 10 weighings shall be ± 2.5% of specified delivery volume.  For volumes ≥ 1.0 mL, volume shall be checked by using a Class A graduated cylinder.</w:t>
      </w:r>
    </w:p>
    <w:p w14:paraId="47BC2EAB" w14:textId="77777777" w:rsidR="009C3C30" w:rsidRPr="00FB7493" w:rsidRDefault="009C3C30" w:rsidP="00E51D96"/>
    <w:p w14:paraId="195733B6" w14:textId="2099E195" w:rsidR="001E22F0" w:rsidRPr="00FB7493" w:rsidRDefault="009C3C30" w:rsidP="001E22F0">
      <w:pPr>
        <w:widowControl w:val="0"/>
        <w:autoSpaceDE w:val="0"/>
        <w:autoSpaceDN w:val="0"/>
        <w:adjustRightInd w:val="0"/>
        <w:ind w:left="1440" w:hanging="720"/>
      </w:pPr>
      <w:r w:rsidRPr="00FB7493">
        <w:t>v</w:t>
      </w:r>
      <w:r w:rsidR="001E22F0" w:rsidRPr="00FB7493">
        <w:t>)</w:t>
      </w:r>
      <w:r w:rsidR="001E22F0" w:rsidRPr="00FB7493">
        <w:tab/>
        <w:t xml:space="preserve">The refrigerator temperature shall be determined daily by an accurate thermometer </w:t>
      </w:r>
      <w:r w:rsidR="00480703" w:rsidRPr="005E2473">
        <w:t xml:space="preserve">(thermometer </w:t>
      </w:r>
      <w:r w:rsidR="001E22F0" w:rsidRPr="00FB7493">
        <w:t>immersed in liquid</w:t>
      </w:r>
      <w:r w:rsidR="00480703">
        <w:t>,</w:t>
      </w:r>
      <w:r w:rsidR="00480703" w:rsidRPr="00480703">
        <w:t xml:space="preserve"> </w:t>
      </w:r>
      <w:r w:rsidR="00480703" w:rsidRPr="005E2473">
        <w:t>data logger, or other automated approved method)</w:t>
      </w:r>
      <w:r w:rsidR="001E22F0" w:rsidRPr="00FB7493">
        <w:t xml:space="preserve"> placed on the top shelf. The refrigerator unit shall be </w:t>
      </w:r>
      <w:r w:rsidR="00111AF9" w:rsidRPr="00FB7493">
        <w:t>visibly clean</w:t>
      </w:r>
      <w:r w:rsidR="001E22F0" w:rsidRPr="00FB7493">
        <w:t xml:space="preserve">. Outdated materials in the refrigerator and freezer compartments shall be discarded. </w:t>
      </w:r>
    </w:p>
    <w:p w14:paraId="41677B93" w14:textId="77777777" w:rsidR="00176424" w:rsidRPr="00FB7493" w:rsidRDefault="00176424" w:rsidP="00E51D96"/>
    <w:p w14:paraId="39FC818E" w14:textId="77777777" w:rsidR="001E22F0" w:rsidRPr="00FB7493" w:rsidRDefault="009C3C30" w:rsidP="001E22F0">
      <w:pPr>
        <w:widowControl w:val="0"/>
        <w:autoSpaceDE w:val="0"/>
        <w:autoSpaceDN w:val="0"/>
        <w:adjustRightInd w:val="0"/>
        <w:ind w:left="1440" w:hanging="720"/>
      </w:pPr>
      <w:r w:rsidRPr="00FB7493">
        <w:t>w</w:t>
      </w:r>
      <w:r w:rsidR="001E22F0" w:rsidRPr="00FB7493">
        <w:t>)</w:t>
      </w:r>
      <w:r w:rsidR="001E22F0" w:rsidRPr="00FB7493">
        <w:tab/>
        <w:t xml:space="preserve">Ultraviolet sterilization lamps shall be tested quarterly by exposing agar spread plates containing 200 to 250 microorganisms to the light for </w:t>
      </w:r>
      <w:r w:rsidR="00111AF9" w:rsidRPr="00FB7493">
        <w:t>two</w:t>
      </w:r>
      <w:r w:rsidR="001E22F0" w:rsidRPr="00FB7493">
        <w:t xml:space="preserve"> minutes. If </w:t>
      </w:r>
      <w:r w:rsidR="00016902">
        <w:t>the</w:t>
      </w:r>
      <w:r w:rsidR="001E22F0" w:rsidRPr="00FB7493">
        <w:t xml:space="preserve"> irradiation does not reduce the count of control plates by 99 percent, the lamps shall be replaced. </w:t>
      </w:r>
      <w:r w:rsidR="00111AF9" w:rsidRPr="00FB7493">
        <w:t xml:space="preserve">Alternatively, lamps </w:t>
      </w:r>
      <w:r w:rsidRPr="00FB7493">
        <w:t xml:space="preserve">shall be replaced </w:t>
      </w:r>
      <w:r w:rsidR="00111AF9" w:rsidRPr="00FB7493">
        <w:t xml:space="preserve">if they emit less than 70% of the initial output. </w:t>
      </w:r>
      <w:r w:rsidR="001E22F0" w:rsidRPr="00FB7493">
        <w:t xml:space="preserve">Cleaning of ultraviolet sterilization lamps shall be </w:t>
      </w:r>
      <w:r w:rsidRPr="00FB7493">
        <w:t>cleaned</w:t>
      </w:r>
      <w:r w:rsidR="001E22F0" w:rsidRPr="00FB7493">
        <w:t xml:space="preserve"> at least monthly by disconnecting the unit and cleaning the lamps with a soft cloth moistened with ethanol. </w:t>
      </w:r>
      <w:r w:rsidR="00E57CBD" w:rsidRPr="00FB7493">
        <w:t>Protective</w:t>
      </w:r>
      <w:r w:rsidR="00111AF9" w:rsidRPr="00FB7493">
        <w:t xml:space="preserve"> eye wear </w:t>
      </w:r>
      <w:r w:rsidR="00E57CBD" w:rsidRPr="00FB7493">
        <w:t xml:space="preserve">shall be used </w:t>
      </w:r>
      <w:r w:rsidR="00111AF9" w:rsidRPr="00FB7493">
        <w:t>when checking the operation of a 254 nm lamp.</w:t>
      </w:r>
    </w:p>
    <w:p w14:paraId="2703058C" w14:textId="77777777" w:rsidR="00176424" w:rsidRPr="00FB7493" w:rsidRDefault="00176424" w:rsidP="00E51D96"/>
    <w:p w14:paraId="39F880FC" w14:textId="77777777" w:rsidR="001E22F0" w:rsidRPr="00FB7493" w:rsidRDefault="00E57CBD" w:rsidP="001E22F0">
      <w:pPr>
        <w:widowControl w:val="0"/>
        <w:autoSpaceDE w:val="0"/>
        <w:autoSpaceDN w:val="0"/>
        <w:adjustRightInd w:val="0"/>
        <w:ind w:left="1440" w:hanging="720"/>
      </w:pPr>
      <w:r w:rsidRPr="00FB7493">
        <w:t>x</w:t>
      </w:r>
      <w:r w:rsidR="001E22F0" w:rsidRPr="00FB7493">
        <w:t>)</w:t>
      </w:r>
      <w:r w:rsidR="001E22F0" w:rsidRPr="00FB7493">
        <w:tab/>
        <w:t xml:space="preserve">Water baths shall be cleaned at least monthly. The use of distilled or deionized water for water baths is recommended. </w:t>
      </w:r>
    </w:p>
    <w:p w14:paraId="0D791513" w14:textId="77777777" w:rsidR="00176424" w:rsidRPr="00FB7493" w:rsidRDefault="00176424" w:rsidP="00E51D96"/>
    <w:p w14:paraId="792A1EFD" w14:textId="7AA19D4B" w:rsidR="001E22F0" w:rsidRPr="00FB7493" w:rsidRDefault="00E57CBD" w:rsidP="001E22F0">
      <w:pPr>
        <w:widowControl w:val="0"/>
        <w:autoSpaceDE w:val="0"/>
        <w:autoSpaceDN w:val="0"/>
        <w:adjustRightInd w:val="0"/>
        <w:ind w:left="1440" w:hanging="720"/>
      </w:pPr>
      <w:r w:rsidRPr="00FB7493">
        <w:t>y</w:t>
      </w:r>
      <w:r w:rsidR="001E22F0" w:rsidRPr="00FB7493">
        <w:t>)</w:t>
      </w:r>
      <w:r w:rsidR="001E22F0" w:rsidRPr="00FB7493">
        <w:tab/>
        <w:t xml:space="preserve">Media shall be used on a first in, first out basis. Records shall be kept of the kind, amount, date received, and date opened for media. The date opened and the date received shall be written on </w:t>
      </w:r>
      <w:r w:rsidR="001229F7">
        <w:t xml:space="preserve">each </w:t>
      </w:r>
      <w:r w:rsidR="001229F7" w:rsidRPr="00935521">
        <w:t>bottle/container/box as appropriate</w:t>
      </w:r>
      <w:r w:rsidR="001E22F0" w:rsidRPr="00FB7493">
        <w:t xml:space="preserve">. </w:t>
      </w:r>
      <w:r w:rsidR="00480703">
        <w:t xml:space="preserve"> </w:t>
      </w:r>
      <w:r w:rsidR="00480703" w:rsidRPr="00935521">
        <w:t>Dehydrated</w:t>
      </w:r>
      <w:r w:rsidR="00222B5B" w:rsidRPr="00FB7493">
        <w:t xml:space="preserve"> </w:t>
      </w:r>
      <w:r w:rsidR="001E22F0" w:rsidRPr="00FB7493">
        <w:t xml:space="preserve">media shall be used within </w:t>
      </w:r>
      <w:r w:rsidR="00111AF9" w:rsidRPr="00FB7493">
        <w:t>six</w:t>
      </w:r>
      <w:r w:rsidR="001E22F0" w:rsidRPr="00FB7493">
        <w:t xml:space="preserve"> months after opening, except media stored in a desiccator </w:t>
      </w:r>
      <w:r w:rsidR="00480703">
        <w:t xml:space="preserve">which </w:t>
      </w:r>
      <w:r w:rsidRPr="00FB7493">
        <w:t>shall</w:t>
      </w:r>
      <w:r w:rsidR="001E22F0" w:rsidRPr="00FB7493">
        <w:t xml:space="preserve"> be used</w:t>
      </w:r>
      <w:r w:rsidRPr="00FB7493">
        <w:t xml:space="preserve"> by the manufacturer</w:t>
      </w:r>
      <w:r w:rsidR="00016902">
        <w:t>'</w:t>
      </w:r>
      <w:r w:rsidRPr="00FB7493">
        <w:t>s expiration date. All media shall be discarded if visible deterioration is observed (e.g.</w:t>
      </w:r>
      <w:r w:rsidR="00016902">
        <w:t>,</w:t>
      </w:r>
      <w:r w:rsidRPr="00FB7493">
        <w:t xml:space="preserve"> clumping, color change).</w:t>
      </w:r>
      <w:r w:rsidR="001E22F0" w:rsidRPr="00FB7493">
        <w:t xml:space="preserve"> It is recommended that media be ordered in quantities to last no longer than one year, and that media be ordered in quarter pound multiples rather than one pound bottles to keep the supply sealed and protected as long as possible. Any media that </w:t>
      </w:r>
      <w:r w:rsidR="00111AF9" w:rsidRPr="00FB7493">
        <w:t>have</w:t>
      </w:r>
      <w:r w:rsidR="001E22F0" w:rsidRPr="00FB7493">
        <w:t xml:space="preserve"> passed the manufacturer's expiration date shall be discarded. </w:t>
      </w:r>
    </w:p>
    <w:p w14:paraId="5FF3CCBD" w14:textId="77777777" w:rsidR="00176424" w:rsidRPr="00FB7493" w:rsidRDefault="00176424" w:rsidP="00E51D96"/>
    <w:p w14:paraId="2702602E" w14:textId="77777777" w:rsidR="001E22F0" w:rsidRPr="00FB7493" w:rsidRDefault="00E57CBD" w:rsidP="001E22F0">
      <w:pPr>
        <w:widowControl w:val="0"/>
        <w:autoSpaceDE w:val="0"/>
        <w:autoSpaceDN w:val="0"/>
        <w:adjustRightInd w:val="0"/>
        <w:ind w:left="1440" w:hanging="720"/>
      </w:pPr>
      <w:r w:rsidRPr="00FB7493">
        <w:t>z</w:t>
      </w:r>
      <w:r w:rsidR="001E22F0" w:rsidRPr="00FB7493">
        <w:t>)</w:t>
      </w:r>
      <w:r w:rsidR="001E22F0" w:rsidRPr="00FB7493">
        <w:tab/>
      </w:r>
      <w:r w:rsidRPr="00FB7493">
        <w:t>The</w:t>
      </w:r>
      <w:r w:rsidR="00111AF9" w:rsidRPr="00FB7493">
        <w:t xml:space="preserve"> conductivity meter </w:t>
      </w:r>
      <w:r w:rsidRPr="00FB7493">
        <w:t xml:space="preserve">shall be calibrated </w:t>
      </w:r>
      <w:r w:rsidR="00111AF9" w:rsidRPr="00FB7493">
        <w:t>at least monthly, following the manufacturer</w:t>
      </w:r>
      <w:r w:rsidR="00222B5B" w:rsidRPr="00FB7493">
        <w:t>'</w:t>
      </w:r>
      <w:r w:rsidR="00111AF9" w:rsidRPr="00FB7493">
        <w:t>s recommendations, using a certified and traceable low level standard of 20 micromhos or less.</w:t>
      </w:r>
      <w:r w:rsidR="001E22F0" w:rsidRPr="00FB7493">
        <w:t xml:space="preserve"> The meter reading shall be within </w:t>
      </w:r>
      <w:r w:rsidR="00111AF9" w:rsidRPr="00FB7493">
        <w:t>2</w:t>
      </w:r>
      <w:r w:rsidR="001E22F0" w:rsidRPr="00FB7493">
        <w:t xml:space="preserve">% of the value of the standard. </w:t>
      </w:r>
      <w:r w:rsidR="00111AF9" w:rsidRPr="00FB7493">
        <w:t>If an in-line unit cannot be calibrated, it shall not be used to check reagent-grade water.</w:t>
      </w:r>
    </w:p>
    <w:p w14:paraId="21307F4F" w14:textId="77777777" w:rsidR="00111AF9" w:rsidRPr="00FB7493" w:rsidRDefault="00111AF9" w:rsidP="00111AF9"/>
    <w:p w14:paraId="5C90AED2" w14:textId="77777777" w:rsidR="00111AF9" w:rsidRPr="00FB7493" w:rsidRDefault="00E57CBD" w:rsidP="00111AF9">
      <w:pPr>
        <w:ind w:left="1440" w:hanging="720"/>
      </w:pPr>
      <w:r w:rsidRPr="00FB7493">
        <w:t>aa</w:t>
      </w:r>
      <w:r w:rsidR="00111AF9" w:rsidRPr="00FB7493">
        <w:t>)</w:t>
      </w:r>
      <w:r w:rsidR="00111AF9" w:rsidRPr="00FB7493">
        <w:tab/>
        <w:t xml:space="preserve">A spectrophotometer or colorimeter (if used) shall have wavelengths in the visible range. A calibration standard and method specific blank shall be analyzed every day that the instrument is used prior to sample analysis. The calibration standard </w:t>
      </w:r>
      <w:r w:rsidR="00111AF9" w:rsidRPr="00FB7493">
        <w:lastRenderedPageBreak/>
        <w:t>shall give a reading in the desired absorbance range and shall be obtained from an outside source.</w:t>
      </w:r>
    </w:p>
    <w:p w14:paraId="358FA62D" w14:textId="77777777" w:rsidR="00111AF9" w:rsidRPr="00FB7493" w:rsidRDefault="00111AF9" w:rsidP="00111AF9"/>
    <w:p w14:paraId="62E6D7CC" w14:textId="251C51B1" w:rsidR="00111AF9" w:rsidRPr="00FB7493" w:rsidRDefault="00E57CBD" w:rsidP="00111AF9">
      <w:pPr>
        <w:ind w:left="1440" w:hanging="720"/>
      </w:pPr>
      <w:r w:rsidRPr="00FB7493">
        <w:t>bb</w:t>
      </w:r>
      <w:r w:rsidR="00111AF9" w:rsidRPr="00FB7493">
        <w:t>)</w:t>
      </w:r>
      <w:r w:rsidR="00111AF9" w:rsidRPr="00FB7493">
        <w:tab/>
      </w:r>
      <w:r w:rsidRPr="00FB7493">
        <w:t>Each</w:t>
      </w:r>
      <w:r w:rsidR="00111AF9" w:rsidRPr="00FB7493">
        <w:t xml:space="preserve"> batch of prepared or each lot of commercial dilution/rinse water </w:t>
      </w:r>
      <w:r w:rsidRPr="00FB7493">
        <w:t xml:space="preserve">shall be checked </w:t>
      </w:r>
      <w:r w:rsidR="00111AF9" w:rsidRPr="00FB7493">
        <w:t xml:space="preserve">for sterility by adding 50 mL of water to 50 mL of double-strength, nonselective broth. </w:t>
      </w:r>
      <w:r w:rsidRPr="00FB7493">
        <w:t>The batch shall be incubated</w:t>
      </w:r>
      <w:r w:rsidR="00111AF9" w:rsidRPr="00FB7493">
        <w:t xml:space="preserve"> at 35° ± 0.5°</w:t>
      </w:r>
      <w:r w:rsidR="00222B5B" w:rsidRPr="00FB7493">
        <w:t xml:space="preserve"> </w:t>
      </w:r>
      <w:r w:rsidR="00111AF9" w:rsidRPr="00FB7493">
        <w:t xml:space="preserve">C and </w:t>
      </w:r>
      <w:r w:rsidRPr="00FB7493">
        <w:t>checked</w:t>
      </w:r>
      <w:r w:rsidR="00111AF9" w:rsidRPr="00FB7493">
        <w:t xml:space="preserve"> for growth after 24 and 48 hours. </w:t>
      </w:r>
      <w:r w:rsidR="00016902">
        <w:t>The</w:t>
      </w:r>
      <w:r w:rsidR="00F9649F">
        <w:t xml:space="preserve"> </w:t>
      </w:r>
      <w:r w:rsidR="00111AF9" w:rsidRPr="00FB7493">
        <w:t xml:space="preserve">batch </w:t>
      </w:r>
      <w:r w:rsidRPr="00FB7493">
        <w:t xml:space="preserve">shall be discarded </w:t>
      </w:r>
      <w:r w:rsidR="00111AF9" w:rsidRPr="00FB7493">
        <w:t>if growth is detected.</w:t>
      </w:r>
    </w:p>
    <w:p w14:paraId="4CF1A9F0" w14:textId="77777777" w:rsidR="00111AF9" w:rsidRPr="00FB7493" w:rsidRDefault="00111AF9" w:rsidP="00111AF9"/>
    <w:p w14:paraId="6E114D8D" w14:textId="77777777" w:rsidR="00111AF9" w:rsidRPr="00FB7493" w:rsidRDefault="00E57CBD" w:rsidP="00111AF9">
      <w:pPr>
        <w:ind w:left="1440" w:hanging="720"/>
      </w:pPr>
      <w:r w:rsidRPr="00FB7493">
        <w:t>cc</w:t>
      </w:r>
      <w:r w:rsidR="00111AF9" w:rsidRPr="00FB7493">
        <w:t>)</w:t>
      </w:r>
      <w:r w:rsidR="00111AF9" w:rsidRPr="00FB7493">
        <w:tab/>
      </w:r>
      <w:r w:rsidRPr="00FB7493">
        <w:t>Each</w:t>
      </w:r>
      <w:r w:rsidR="00111AF9" w:rsidRPr="00FB7493">
        <w:t xml:space="preserve"> batch of prepared or each lot of commercial dilution water blanks </w:t>
      </w:r>
      <w:r w:rsidRPr="00FB7493">
        <w:t xml:space="preserve">shall be checked </w:t>
      </w:r>
      <w:r w:rsidR="00111AF9" w:rsidRPr="00FB7493">
        <w:t>for pH; pH shall be 7.2 ± 0.2.</w:t>
      </w:r>
    </w:p>
    <w:p w14:paraId="28D9139C" w14:textId="77777777" w:rsidR="00111AF9" w:rsidRPr="00FB7493" w:rsidRDefault="00111AF9" w:rsidP="00111AF9"/>
    <w:p w14:paraId="2AD2050A" w14:textId="4A76A820" w:rsidR="00111AF9" w:rsidRPr="00FB7493" w:rsidRDefault="00E57CBD" w:rsidP="00111AF9">
      <w:pPr>
        <w:ind w:left="1440" w:hanging="720"/>
      </w:pPr>
      <w:r w:rsidRPr="00FB7493">
        <w:t>dd</w:t>
      </w:r>
      <w:r w:rsidR="00111AF9" w:rsidRPr="00FB7493">
        <w:t>)</w:t>
      </w:r>
      <w:r w:rsidR="00111AF9" w:rsidRPr="00FB7493">
        <w:tab/>
      </w:r>
      <w:r w:rsidRPr="00FB7493">
        <w:t xml:space="preserve">The accuracy of dilution blank volumes shall be verified by checking one bottle for every 25 prepared or purchased </w:t>
      </w:r>
      <w:r w:rsidR="00111AF9" w:rsidRPr="00FB7493">
        <w:t>using a Class A graduated cylinder.  Volume shall be 99 mL ± 2 mL.</w:t>
      </w:r>
      <w:r w:rsidRPr="00FB7493">
        <w:t xml:space="preserve"> Purchased dilution blanks shall be used by manufacturer</w:t>
      </w:r>
      <w:r w:rsidR="00016902">
        <w:t>'</w:t>
      </w:r>
      <w:r w:rsidRPr="00FB7493">
        <w:t>s expiration date.</w:t>
      </w:r>
    </w:p>
    <w:p w14:paraId="56182168" w14:textId="77777777" w:rsidR="00E57CBD" w:rsidRPr="00FB7493" w:rsidRDefault="00E57CBD" w:rsidP="00E51D96"/>
    <w:p w14:paraId="76C66546" w14:textId="022C9924" w:rsidR="00E57CBD" w:rsidRPr="00FB7493" w:rsidRDefault="00E57CBD" w:rsidP="00E57CBD">
      <w:pPr>
        <w:ind w:left="1440" w:hanging="720"/>
      </w:pPr>
      <w:r w:rsidRPr="00FB7493">
        <w:t>ee)</w:t>
      </w:r>
      <w:r w:rsidRPr="00FB7493">
        <w:tab/>
        <w:t>Each lot of purchased single use membrane filtration equipment shall be checked before use with a Class A graduated cylinder, and a record shall be maintained. Tolerance shall be ± 2.5%. Sterility check shall be performed before and after analysis per Section 465.360</w:t>
      </w:r>
      <w:r w:rsidR="00480703">
        <w:t>(k)</w:t>
      </w:r>
      <w:r w:rsidRPr="00FB7493">
        <w:t>(2).</w:t>
      </w:r>
    </w:p>
    <w:p w14:paraId="34282E1C" w14:textId="77777777" w:rsidR="00E57CBD" w:rsidRPr="00FB7493" w:rsidRDefault="00E57CBD" w:rsidP="00E51D96"/>
    <w:p w14:paraId="047DAF6F" w14:textId="77777777" w:rsidR="00E57CBD" w:rsidRPr="00FB7493" w:rsidRDefault="00E57CBD" w:rsidP="00E57CBD">
      <w:pPr>
        <w:widowControl w:val="0"/>
        <w:autoSpaceDE w:val="0"/>
        <w:autoSpaceDN w:val="0"/>
        <w:adjustRightInd w:val="0"/>
        <w:ind w:left="1440" w:hanging="720"/>
      </w:pPr>
      <w:r w:rsidRPr="00FB7493">
        <w:t>ff)</w:t>
      </w:r>
      <w:r w:rsidRPr="00FB7493">
        <w:tab/>
        <w:t>Membrane filter equipment calibration shall be checked before first use with Class A graduated cylinders, and a record shall be maintained. Tolerance shall be ± 2.5%.</w:t>
      </w:r>
    </w:p>
    <w:p w14:paraId="64BFDED5" w14:textId="77777777" w:rsidR="00E57CBD" w:rsidRPr="00FB7493" w:rsidRDefault="00E57CBD" w:rsidP="00111AF9"/>
    <w:p w14:paraId="2FD48359" w14:textId="7A758EC4" w:rsidR="004508CA" w:rsidRPr="00785BBA" w:rsidRDefault="00480703" w:rsidP="004508CA">
      <w:pPr>
        <w:pStyle w:val="JCARSourceNote"/>
        <w:ind w:left="720"/>
      </w:pPr>
      <w:r>
        <w:t xml:space="preserve">(Source:  Amended at 46 Ill. Reg. </w:t>
      </w:r>
      <w:r w:rsidR="00E43CAD">
        <w:t>19150</w:t>
      </w:r>
      <w:r>
        <w:t xml:space="preserve">, effective </w:t>
      </w:r>
      <w:r w:rsidR="00E43CAD">
        <w:t>November 17, 2022</w:t>
      </w:r>
      <w:r>
        <w:t>)</w:t>
      </w:r>
    </w:p>
    <w:sectPr w:rsidR="004508CA" w:rsidRPr="00785BBA" w:rsidSect="00EC54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5451"/>
    <w:rsid w:val="00016902"/>
    <w:rsid w:val="000D6BD2"/>
    <w:rsid w:val="00111AF9"/>
    <w:rsid w:val="001229F7"/>
    <w:rsid w:val="00175543"/>
    <w:rsid w:val="00176424"/>
    <w:rsid w:val="001E22F0"/>
    <w:rsid w:val="00222B5B"/>
    <w:rsid w:val="00310457"/>
    <w:rsid w:val="0035379B"/>
    <w:rsid w:val="003675E4"/>
    <w:rsid w:val="00427E50"/>
    <w:rsid w:val="004508CA"/>
    <w:rsid w:val="00480703"/>
    <w:rsid w:val="004A6D84"/>
    <w:rsid w:val="0052611E"/>
    <w:rsid w:val="005C3366"/>
    <w:rsid w:val="00682091"/>
    <w:rsid w:val="006A31AE"/>
    <w:rsid w:val="006A36EB"/>
    <w:rsid w:val="0070172F"/>
    <w:rsid w:val="007628B2"/>
    <w:rsid w:val="007768F5"/>
    <w:rsid w:val="00815265"/>
    <w:rsid w:val="008706BA"/>
    <w:rsid w:val="00903FC8"/>
    <w:rsid w:val="009C3C30"/>
    <w:rsid w:val="00A528B6"/>
    <w:rsid w:val="00AE3DDC"/>
    <w:rsid w:val="00B90B44"/>
    <w:rsid w:val="00C03CB1"/>
    <w:rsid w:val="00C908FB"/>
    <w:rsid w:val="00CC06FC"/>
    <w:rsid w:val="00D21694"/>
    <w:rsid w:val="00E43CAD"/>
    <w:rsid w:val="00E51D96"/>
    <w:rsid w:val="00E57CBD"/>
    <w:rsid w:val="00EC5451"/>
    <w:rsid w:val="00F50165"/>
    <w:rsid w:val="00F9649F"/>
    <w:rsid w:val="00FB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1E44A4"/>
  <w15:docId w15:val="{A85AFA5B-E629-439B-8E82-00955BC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1AF9"/>
  </w:style>
  <w:style w:type="character" w:styleId="CommentReference">
    <w:name w:val="annotation reference"/>
    <w:basedOn w:val="DefaultParagraphFont"/>
    <w:semiHidden/>
    <w:unhideWhenUsed/>
    <w:rsid w:val="006A31AE"/>
    <w:rPr>
      <w:sz w:val="16"/>
      <w:szCs w:val="16"/>
    </w:rPr>
  </w:style>
  <w:style w:type="paragraph" w:styleId="CommentText">
    <w:name w:val="annotation text"/>
    <w:basedOn w:val="Normal"/>
    <w:link w:val="CommentTextChar"/>
    <w:semiHidden/>
    <w:unhideWhenUsed/>
    <w:rsid w:val="006A31AE"/>
    <w:rPr>
      <w:sz w:val="20"/>
      <w:szCs w:val="20"/>
    </w:rPr>
  </w:style>
  <w:style w:type="character" w:customStyle="1" w:styleId="CommentTextChar">
    <w:name w:val="Comment Text Char"/>
    <w:basedOn w:val="DefaultParagraphFont"/>
    <w:link w:val="CommentText"/>
    <w:semiHidden/>
    <w:rsid w:val="006A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3</cp:revision>
  <dcterms:created xsi:type="dcterms:W3CDTF">2022-11-14T20:27:00Z</dcterms:created>
  <dcterms:modified xsi:type="dcterms:W3CDTF">2022-12-02T14:42:00Z</dcterms:modified>
</cp:coreProperties>
</file>