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CA4" w:rsidRDefault="005F4CA4" w:rsidP="005F7147">
      <w:pPr>
        <w:widowControl w:val="0"/>
        <w:autoSpaceDE w:val="0"/>
        <w:autoSpaceDN w:val="0"/>
        <w:adjustRightInd w:val="0"/>
      </w:pPr>
    </w:p>
    <w:p w:rsidR="005F4CA4" w:rsidRDefault="005F4CA4" w:rsidP="005F7147">
      <w:pPr>
        <w:widowControl w:val="0"/>
        <w:autoSpaceDE w:val="0"/>
        <w:autoSpaceDN w:val="0"/>
        <w:adjustRightInd w:val="0"/>
      </w:pPr>
      <w:r>
        <w:rPr>
          <w:b/>
          <w:bCs/>
        </w:rPr>
        <w:t>Section 515.2090  Trauma Center Fund</w:t>
      </w:r>
      <w:r>
        <w:t xml:space="preserve"> </w:t>
      </w:r>
    </w:p>
    <w:p w:rsidR="005F4CA4" w:rsidRDefault="005F4CA4" w:rsidP="005F7147">
      <w:pPr>
        <w:widowControl w:val="0"/>
        <w:autoSpaceDE w:val="0"/>
        <w:autoSpaceDN w:val="0"/>
        <w:adjustRightInd w:val="0"/>
      </w:pPr>
    </w:p>
    <w:p w:rsidR="005F4CA4" w:rsidRDefault="005F4CA4" w:rsidP="005F7147">
      <w:pPr>
        <w:widowControl w:val="0"/>
        <w:autoSpaceDE w:val="0"/>
        <w:autoSpaceDN w:val="0"/>
        <w:adjustRightInd w:val="0"/>
        <w:ind w:left="1440" w:hanging="720"/>
      </w:pPr>
      <w:r>
        <w:t>a)</w:t>
      </w:r>
      <w:r>
        <w:tab/>
      </w:r>
      <w:r>
        <w:rPr>
          <w:i/>
          <w:iCs/>
        </w:rPr>
        <w:t>The Department shall distribute 97.5% of 50% of</w:t>
      </w:r>
      <w:r w:rsidR="00CA4357">
        <w:rPr>
          <w:i/>
          <w:iCs/>
        </w:rPr>
        <w:t xml:space="preserve"> the moneys deposited into the T</w:t>
      </w:r>
      <w:r>
        <w:rPr>
          <w:i/>
          <w:iCs/>
        </w:rPr>
        <w:t xml:space="preserve">rauma </w:t>
      </w:r>
      <w:r w:rsidR="00CA4357">
        <w:rPr>
          <w:i/>
          <w:iCs/>
        </w:rPr>
        <w:t>C</w:t>
      </w:r>
      <w:r>
        <w:rPr>
          <w:i/>
          <w:iCs/>
        </w:rPr>
        <w:t>enter</w:t>
      </w:r>
      <w:r w:rsidR="00CA4357">
        <w:rPr>
          <w:i/>
          <w:iCs/>
        </w:rPr>
        <w:t xml:space="preserve"> F</w:t>
      </w:r>
      <w:r>
        <w:rPr>
          <w:i/>
          <w:iCs/>
        </w:rPr>
        <w:t>und, a special fund in the State Treasury, to Illinois hospitals that are</w:t>
      </w:r>
      <w:r>
        <w:t xml:space="preserve"> currently </w:t>
      </w:r>
      <w:r>
        <w:rPr>
          <w:i/>
          <w:iCs/>
        </w:rPr>
        <w:t xml:space="preserve">designated as trauma centers.  </w:t>
      </w:r>
      <w:r>
        <w:t xml:space="preserve">(Section 3.225(a) of the Act)  The distribution to individual hospitals shall be based on the number of trauma cases, including cases where the hospital provides initial trauma care only, and the average length of stay for trauma cases at each hospital, according to data for the most recently completed State fiscal year. </w:t>
      </w:r>
    </w:p>
    <w:p w:rsidR="007636A5" w:rsidRDefault="007636A5" w:rsidP="005F7147">
      <w:pPr>
        <w:widowControl w:val="0"/>
        <w:autoSpaceDE w:val="0"/>
        <w:autoSpaceDN w:val="0"/>
        <w:adjustRightInd w:val="0"/>
        <w:ind w:left="1440" w:hanging="720"/>
      </w:pPr>
    </w:p>
    <w:p w:rsidR="005F4CA4" w:rsidRDefault="005F4CA4" w:rsidP="005F7147">
      <w:pPr>
        <w:widowControl w:val="0"/>
        <w:autoSpaceDE w:val="0"/>
        <w:autoSpaceDN w:val="0"/>
        <w:adjustRightInd w:val="0"/>
        <w:ind w:left="1440" w:hanging="720"/>
      </w:pPr>
      <w:r>
        <w:t>b)</w:t>
      </w:r>
      <w:r>
        <w:tab/>
      </w:r>
      <w:r>
        <w:rPr>
          <w:i/>
          <w:iCs/>
        </w:rPr>
        <w:t>The moneys in the fund shall be allocated proportionally to each EMS Region so that the EMS Region receives the moneys collected from within its Region for violations of laws or ordinances regulating the movement of traffic.</w:t>
      </w:r>
      <w:r>
        <w:t xml:space="preserve">  </w:t>
      </w:r>
      <w:r w:rsidR="00891965" w:rsidRPr="00891965">
        <w:rPr>
          <w:i/>
        </w:rPr>
        <w:t>Under no circumstances shall money collected within one EMS Region be redirected to another EMS region</w:t>
      </w:r>
      <w:r w:rsidR="00891965" w:rsidRPr="00891965">
        <w:t xml:space="preserve">. </w:t>
      </w:r>
      <w:r w:rsidR="00891965">
        <w:t xml:space="preserve"> </w:t>
      </w:r>
      <w:r>
        <w:t xml:space="preserve">(Section 3.225(b)(2) of the Act) </w:t>
      </w:r>
    </w:p>
    <w:p w:rsidR="00891965" w:rsidRDefault="00891965" w:rsidP="005F7147">
      <w:pPr>
        <w:widowControl w:val="0"/>
        <w:autoSpaceDE w:val="0"/>
        <w:autoSpaceDN w:val="0"/>
        <w:adjustRightInd w:val="0"/>
        <w:ind w:left="2160" w:hanging="720"/>
      </w:pPr>
    </w:p>
    <w:p w:rsidR="00891965" w:rsidRPr="009213EF" w:rsidRDefault="00891965" w:rsidP="005F7147">
      <w:pPr>
        <w:widowControl w:val="0"/>
        <w:autoSpaceDE w:val="0"/>
        <w:autoSpaceDN w:val="0"/>
        <w:adjustRightInd w:val="0"/>
        <w:ind w:left="1440" w:hanging="720"/>
      </w:pPr>
      <w:r w:rsidRPr="009213EF">
        <w:t>c)</w:t>
      </w:r>
      <w:r w:rsidRPr="009213EF">
        <w:tab/>
      </w:r>
      <w:r w:rsidRPr="009213EF">
        <w:rPr>
          <w:i/>
        </w:rPr>
        <w:t xml:space="preserve">No moneys may be distributed to a trauma center located outside of the State. </w:t>
      </w:r>
      <w:r w:rsidRPr="009213EF">
        <w:t xml:space="preserve"> (Section 3.225(b)(3) of the Act)</w:t>
      </w:r>
    </w:p>
    <w:p w:rsidR="00891965" w:rsidRPr="00221BD6" w:rsidRDefault="00891965" w:rsidP="005F7147">
      <w:pPr>
        <w:widowControl w:val="0"/>
        <w:autoSpaceDE w:val="0"/>
        <w:autoSpaceDN w:val="0"/>
        <w:adjustRightInd w:val="0"/>
        <w:ind w:left="2880" w:hanging="720"/>
      </w:pPr>
    </w:p>
    <w:p w:rsidR="00891965" w:rsidRPr="009213EF" w:rsidRDefault="00891965" w:rsidP="005F7147">
      <w:pPr>
        <w:widowControl w:val="0"/>
        <w:autoSpaceDE w:val="0"/>
        <w:autoSpaceDN w:val="0"/>
        <w:adjustRightInd w:val="0"/>
        <w:ind w:left="1440" w:hanging="720"/>
      </w:pPr>
      <w:bookmarkStart w:id="0" w:name="_GoBack"/>
      <w:bookmarkEnd w:id="0"/>
      <w:r w:rsidRPr="009213EF">
        <w:t>d)</w:t>
      </w:r>
      <w:r w:rsidRPr="009213EF">
        <w:tab/>
      </w:r>
      <w:r w:rsidRPr="009213EF">
        <w:rPr>
          <w:i/>
        </w:rPr>
        <w:t>If money collected from an EMS region cannot be distributed to any trauma center in that EMS region because the trauma center is located outside of the</w:t>
      </w:r>
      <w:r w:rsidRPr="00891965">
        <w:rPr>
          <w:i/>
        </w:rPr>
        <w:t xml:space="preserve"> </w:t>
      </w:r>
      <w:r w:rsidRPr="009213EF">
        <w:rPr>
          <w:i/>
        </w:rPr>
        <w:t xml:space="preserve">State, then the Department shall distribute the money to hospitals in the EMS region for the provision of emergency services </w:t>
      </w:r>
      <w:r w:rsidRPr="009213EF">
        <w:t>related to care of injured patients</w:t>
      </w:r>
      <w:r w:rsidRPr="009213EF">
        <w:rPr>
          <w:i/>
        </w:rPr>
        <w:t>.</w:t>
      </w:r>
      <w:r w:rsidRPr="009213EF">
        <w:t xml:space="preserve"> (Section 3.225(b)(4) of the Act)</w:t>
      </w:r>
    </w:p>
    <w:p w:rsidR="00891965" w:rsidRPr="009213EF" w:rsidRDefault="00891965" w:rsidP="005F7147">
      <w:pPr>
        <w:widowControl w:val="0"/>
        <w:autoSpaceDE w:val="0"/>
        <w:autoSpaceDN w:val="0"/>
        <w:adjustRightInd w:val="0"/>
        <w:ind w:left="2160" w:hanging="720"/>
      </w:pPr>
    </w:p>
    <w:p w:rsidR="00891965" w:rsidRPr="009213EF" w:rsidRDefault="00891965" w:rsidP="005F7147">
      <w:pPr>
        <w:widowControl w:val="0"/>
        <w:autoSpaceDE w:val="0"/>
        <w:autoSpaceDN w:val="0"/>
        <w:adjustRightInd w:val="0"/>
        <w:ind w:left="1440" w:hanging="720"/>
      </w:pPr>
      <w:r w:rsidRPr="009213EF">
        <w:t>e)</w:t>
      </w:r>
      <w:r w:rsidRPr="009213EF">
        <w:tab/>
        <w:t xml:space="preserve">The total amount of funds per EMS Region will be based on the moneys received from the counties in that Region. </w:t>
      </w:r>
    </w:p>
    <w:p w:rsidR="00891965" w:rsidRPr="009213EF" w:rsidRDefault="00891965" w:rsidP="005F7147">
      <w:pPr>
        <w:widowControl w:val="0"/>
        <w:autoSpaceDE w:val="0"/>
        <w:autoSpaceDN w:val="0"/>
        <w:adjustRightInd w:val="0"/>
        <w:ind w:left="2880" w:hanging="720"/>
      </w:pPr>
    </w:p>
    <w:p w:rsidR="00891965" w:rsidRPr="009213EF" w:rsidRDefault="00891965" w:rsidP="005F7147">
      <w:pPr>
        <w:widowControl w:val="0"/>
        <w:autoSpaceDE w:val="0"/>
        <w:autoSpaceDN w:val="0"/>
        <w:adjustRightInd w:val="0"/>
        <w:ind w:left="2160" w:hanging="720"/>
      </w:pPr>
      <w:r w:rsidRPr="009213EF">
        <w:t>1)</w:t>
      </w:r>
      <w:r w:rsidRPr="009213EF">
        <w:tab/>
        <w:t xml:space="preserve">If a county has more than one EMS Region, the moneys received from that county shall be divided among the Regions based on each Region's share of the county's trauma cases. </w:t>
      </w:r>
    </w:p>
    <w:p w:rsidR="00891965" w:rsidRPr="009213EF" w:rsidRDefault="00891965" w:rsidP="005F7147">
      <w:pPr>
        <w:widowControl w:val="0"/>
        <w:autoSpaceDE w:val="0"/>
        <w:autoSpaceDN w:val="0"/>
        <w:adjustRightInd w:val="0"/>
        <w:ind w:left="2880" w:hanging="720"/>
      </w:pPr>
    </w:p>
    <w:p w:rsidR="00891965" w:rsidRPr="009213EF" w:rsidRDefault="00891965" w:rsidP="005F7147">
      <w:pPr>
        <w:widowControl w:val="0"/>
        <w:autoSpaceDE w:val="0"/>
        <w:autoSpaceDN w:val="0"/>
        <w:adjustRightInd w:val="0"/>
        <w:ind w:left="2160" w:hanging="720"/>
      </w:pPr>
      <w:r w:rsidRPr="009213EF">
        <w:t>2)</w:t>
      </w:r>
      <w:r w:rsidRPr="009213EF">
        <w:tab/>
        <w:t xml:space="preserve">EMS Regions that have developed joint EMS Region Plans to enable them to function as one Region shall be treated as one Region in the calculation. </w:t>
      </w:r>
    </w:p>
    <w:p w:rsidR="00891965" w:rsidRPr="009213EF" w:rsidRDefault="00891965" w:rsidP="005F7147">
      <w:pPr>
        <w:widowControl w:val="0"/>
        <w:autoSpaceDE w:val="0"/>
        <w:autoSpaceDN w:val="0"/>
        <w:adjustRightInd w:val="0"/>
        <w:ind w:left="2880" w:hanging="720"/>
      </w:pPr>
    </w:p>
    <w:p w:rsidR="00891965" w:rsidRPr="009213EF" w:rsidRDefault="00891965" w:rsidP="005F7147">
      <w:pPr>
        <w:widowControl w:val="0"/>
        <w:autoSpaceDE w:val="0"/>
        <w:autoSpaceDN w:val="0"/>
        <w:adjustRightInd w:val="0"/>
        <w:ind w:left="1440" w:hanging="720"/>
      </w:pPr>
      <w:r w:rsidRPr="009213EF">
        <w:t>f)</w:t>
      </w:r>
      <w:r w:rsidRPr="009213EF">
        <w:tab/>
        <w:t xml:space="preserve">At the beginning of each State fiscal year, the Department shall calculate a per trauma case allocation for each Region, which shall be used to determine each trauma center's share of the funds collected during the previous State fiscal year. </w:t>
      </w:r>
    </w:p>
    <w:p w:rsidR="00891965" w:rsidRPr="009213EF" w:rsidRDefault="00891965" w:rsidP="005F7147">
      <w:pPr>
        <w:widowControl w:val="0"/>
        <w:autoSpaceDE w:val="0"/>
        <w:autoSpaceDN w:val="0"/>
        <w:adjustRightInd w:val="0"/>
        <w:ind w:left="1440" w:hanging="720"/>
      </w:pPr>
    </w:p>
    <w:p w:rsidR="005F4CA4" w:rsidRDefault="00891965" w:rsidP="005F7147">
      <w:pPr>
        <w:widowControl w:val="0"/>
        <w:autoSpaceDE w:val="0"/>
        <w:autoSpaceDN w:val="0"/>
        <w:adjustRightInd w:val="0"/>
        <w:ind w:left="1440" w:hanging="720"/>
      </w:pPr>
      <w:r>
        <w:t>g)</w:t>
      </w:r>
      <w:r w:rsidR="005F4CA4">
        <w:tab/>
        <w:t xml:space="preserve">To determine the percent of the Trauma </w:t>
      </w:r>
      <w:r>
        <w:t xml:space="preserve">Center </w:t>
      </w:r>
      <w:r w:rsidR="005F4CA4">
        <w:t xml:space="preserve">Fund to be received by each hospital, divide the Hospital Distribution Factor for each trauma center by the Region Distribution Factor. </w:t>
      </w:r>
    </w:p>
    <w:p w:rsidR="007636A5" w:rsidRDefault="007636A5" w:rsidP="005F7147">
      <w:pPr>
        <w:widowControl w:val="0"/>
        <w:autoSpaceDE w:val="0"/>
        <w:autoSpaceDN w:val="0"/>
        <w:adjustRightInd w:val="0"/>
        <w:ind w:left="2160" w:hanging="720"/>
      </w:pPr>
    </w:p>
    <w:p w:rsidR="005F4CA4" w:rsidRDefault="005F4CA4" w:rsidP="005F7147">
      <w:pPr>
        <w:widowControl w:val="0"/>
        <w:autoSpaceDE w:val="0"/>
        <w:autoSpaceDN w:val="0"/>
        <w:adjustRightInd w:val="0"/>
        <w:ind w:left="2160" w:hanging="720"/>
      </w:pPr>
      <w:r>
        <w:t>1)</w:t>
      </w:r>
      <w:r>
        <w:tab/>
        <w:t xml:space="preserve">To determine the Region Distribution Factor, add all of the Hospital Distribution Factors for the trauma centers in the Region. </w:t>
      </w:r>
    </w:p>
    <w:p w:rsidR="007636A5" w:rsidRDefault="007636A5" w:rsidP="005F7147">
      <w:pPr>
        <w:widowControl w:val="0"/>
        <w:autoSpaceDE w:val="0"/>
        <w:autoSpaceDN w:val="0"/>
        <w:adjustRightInd w:val="0"/>
        <w:ind w:left="2160" w:hanging="720"/>
      </w:pPr>
    </w:p>
    <w:p w:rsidR="005F4CA4" w:rsidRDefault="005F4CA4" w:rsidP="005F7147">
      <w:pPr>
        <w:widowControl w:val="0"/>
        <w:autoSpaceDE w:val="0"/>
        <w:autoSpaceDN w:val="0"/>
        <w:adjustRightInd w:val="0"/>
        <w:ind w:left="2160" w:hanging="720"/>
      </w:pPr>
      <w:r>
        <w:t>2)</w:t>
      </w:r>
      <w:r>
        <w:tab/>
        <w:t xml:space="preserve">To determine the Hospital Distribution Factor, add the hospital's total admission score to the total case value score for the initial trauma care patients treated at the hospital. </w:t>
      </w:r>
    </w:p>
    <w:p w:rsidR="007636A5" w:rsidRDefault="007636A5" w:rsidP="005F7147">
      <w:pPr>
        <w:widowControl w:val="0"/>
        <w:autoSpaceDE w:val="0"/>
        <w:autoSpaceDN w:val="0"/>
        <w:adjustRightInd w:val="0"/>
        <w:ind w:left="2880" w:hanging="720"/>
      </w:pPr>
    </w:p>
    <w:p w:rsidR="005F4CA4" w:rsidRDefault="005F4CA4" w:rsidP="005F7147">
      <w:pPr>
        <w:widowControl w:val="0"/>
        <w:autoSpaceDE w:val="0"/>
        <w:autoSpaceDN w:val="0"/>
        <w:adjustRightInd w:val="0"/>
        <w:ind w:left="2880" w:hanging="720"/>
      </w:pPr>
      <w:r>
        <w:t>A)</w:t>
      </w:r>
      <w:r>
        <w:tab/>
        <w:t xml:space="preserve">To determine the hospital's Total Admission Score, multiply the total case value score for admissions by the average length of stay. </w:t>
      </w:r>
    </w:p>
    <w:p w:rsidR="007636A5" w:rsidRDefault="007636A5" w:rsidP="005F7147">
      <w:pPr>
        <w:widowControl w:val="0"/>
        <w:autoSpaceDE w:val="0"/>
        <w:autoSpaceDN w:val="0"/>
        <w:adjustRightInd w:val="0"/>
        <w:ind w:left="3600" w:hanging="720"/>
      </w:pPr>
    </w:p>
    <w:p w:rsidR="005F4CA4" w:rsidRDefault="005F4CA4" w:rsidP="005F7147">
      <w:pPr>
        <w:widowControl w:val="0"/>
        <w:autoSpaceDE w:val="0"/>
        <w:autoSpaceDN w:val="0"/>
        <w:adjustRightInd w:val="0"/>
        <w:ind w:left="3600" w:hanging="720"/>
      </w:pPr>
      <w:proofErr w:type="spellStart"/>
      <w:r>
        <w:t>i</w:t>
      </w:r>
      <w:proofErr w:type="spellEnd"/>
      <w:r>
        <w:t>)</w:t>
      </w:r>
      <w:r>
        <w:tab/>
        <w:t xml:space="preserve">To determine the total case value score for admissions, assign case values for each patient (one patient may have more than one value, i.e., a person who has an ICU stay after an OR procedure) admitted to the hospital according to the following: </w:t>
      </w:r>
    </w:p>
    <w:p w:rsidR="005F4CA4" w:rsidRDefault="005F4CA4" w:rsidP="005F7147">
      <w:pPr>
        <w:widowControl w:val="0"/>
        <w:autoSpaceDE w:val="0"/>
        <w:autoSpaceDN w:val="0"/>
        <w:adjustRightInd w:val="0"/>
        <w:ind w:left="3600" w:hanging="720"/>
      </w:pPr>
    </w:p>
    <w:tbl>
      <w:tblPr>
        <w:tblW w:w="0" w:type="auto"/>
        <w:tblInd w:w="4134" w:type="dxa"/>
        <w:tblBorders>
          <w:top w:val="dashed" w:sz="32" w:space="9" w:color="auto"/>
          <w:left w:val="single" w:sz="12" w:space="4" w:color="auto"/>
          <w:bottom w:val="dashed" w:sz="24" w:space="0" w:color="auto"/>
          <w:right w:val="dashed" w:sz="44" w:space="0" w:color="auto"/>
        </w:tblBorders>
        <w:tblLayout w:type="fixed"/>
        <w:tblCellMar>
          <w:left w:w="600" w:type="dxa"/>
          <w:right w:w="600" w:type="dxa"/>
        </w:tblCellMar>
        <w:tblLook w:val="0000" w:firstRow="0" w:lastRow="0" w:firstColumn="0" w:lastColumn="0" w:noHBand="0" w:noVBand="0"/>
      </w:tblPr>
      <w:tblGrid>
        <w:gridCol w:w="4332"/>
        <w:gridCol w:w="1220"/>
      </w:tblGrid>
      <w:tr w:rsidR="005F4CA4">
        <w:tc>
          <w:tcPr>
            <w:tcW w:w="4332" w:type="dxa"/>
            <w:tcBorders>
              <w:top w:val="nil"/>
              <w:left w:val="nil"/>
              <w:bottom w:val="nil"/>
              <w:right w:val="nil"/>
            </w:tcBorders>
          </w:tcPr>
          <w:p w:rsidR="005F4CA4" w:rsidRDefault="005F4CA4" w:rsidP="005F7147">
            <w:pPr>
              <w:widowControl w:val="0"/>
              <w:autoSpaceDE w:val="0"/>
              <w:autoSpaceDN w:val="0"/>
              <w:adjustRightInd w:val="0"/>
            </w:pPr>
            <w:r>
              <w:t>Admission</w:t>
            </w:r>
          </w:p>
        </w:tc>
        <w:tc>
          <w:tcPr>
            <w:tcW w:w="1220" w:type="dxa"/>
            <w:tcBorders>
              <w:top w:val="nil"/>
              <w:left w:val="nil"/>
              <w:bottom w:val="nil"/>
              <w:right w:val="nil"/>
            </w:tcBorders>
          </w:tcPr>
          <w:p w:rsidR="005F4CA4" w:rsidRDefault="005F4CA4" w:rsidP="005F7147">
            <w:pPr>
              <w:widowControl w:val="0"/>
              <w:autoSpaceDE w:val="0"/>
              <w:autoSpaceDN w:val="0"/>
              <w:adjustRightInd w:val="0"/>
            </w:pPr>
            <w:r>
              <w:t>2</w:t>
            </w:r>
          </w:p>
        </w:tc>
      </w:tr>
      <w:tr w:rsidR="005F4CA4">
        <w:tc>
          <w:tcPr>
            <w:tcW w:w="4332" w:type="dxa"/>
            <w:tcBorders>
              <w:top w:val="nil"/>
              <w:left w:val="nil"/>
              <w:bottom w:val="nil"/>
              <w:right w:val="nil"/>
            </w:tcBorders>
          </w:tcPr>
          <w:p w:rsidR="005F4CA4" w:rsidRDefault="005F4CA4" w:rsidP="005F7147">
            <w:pPr>
              <w:widowControl w:val="0"/>
              <w:autoSpaceDE w:val="0"/>
              <w:autoSpaceDN w:val="0"/>
              <w:adjustRightInd w:val="0"/>
            </w:pPr>
            <w:r>
              <w:t>Intensive Care Unit Stay</w:t>
            </w:r>
          </w:p>
        </w:tc>
        <w:tc>
          <w:tcPr>
            <w:tcW w:w="1220" w:type="dxa"/>
            <w:tcBorders>
              <w:top w:val="nil"/>
              <w:left w:val="nil"/>
              <w:bottom w:val="nil"/>
              <w:right w:val="nil"/>
            </w:tcBorders>
          </w:tcPr>
          <w:p w:rsidR="005F4CA4" w:rsidRDefault="005F4CA4" w:rsidP="005F7147">
            <w:pPr>
              <w:widowControl w:val="0"/>
              <w:autoSpaceDE w:val="0"/>
              <w:autoSpaceDN w:val="0"/>
              <w:adjustRightInd w:val="0"/>
            </w:pPr>
            <w:r>
              <w:t>2</w:t>
            </w:r>
          </w:p>
        </w:tc>
      </w:tr>
      <w:tr w:rsidR="005F4CA4">
        <w:tc>
          <w:tcPr>
            <w:tcW w:w="4332" w:type="dxa"/>
            <w:tcBorders>
              <w:top w:val="nil"/>
              <w:left w:val="nil"/>
              <w:bottom w:val="nil"/>
              <w:right w:val="nil"/>
            </w:tcBorders>
          </w:tcPr>
          <w:p w:rsidR="005F4CA4" w:rsidRDefault="005F4CA4" w:rsidP="005F7147">
            <w:pPr>
              <w:widowControl w:val="0"/>
              <w:autoSpaceDE w:val="0"/>
              <w:autoSpaceDN w:val="0"/>
              <w:adjustRightInd w:val="0"/>
            </w:pPr>
            <w:r>
              <w:t>Operating Room Procedure</w:t>
            </w:r>
          </w:p>
        </w:tc>
        <w:tc>
          <w:tcPr>
            <w:tcW w:w="1220" w:type="dxa"/>
            <w:tcBorders>
              <w:top w:val="nil"/>
              <w:left w:val="nil"/>
              <w:bottom w:val="nil"/>
              <w:right w:val="nil"/>
            </w:tcBorders>
          </w:tcPr>
          <w:p w:rsidR="005F4CA4" w:rsidRDefault="005F4CA4" w:rsidP="005F7147">
            <w:pPr>
              <w:widowControl w:val="0"/>
              <w:autoSpaceDE w:val="0"/>
              <w:autoSpaceDN w:val="0"/>
              <w:adjustRightInd w:val="0"/>
            </w:pPr>
            <w:r>
              <w:t>2</w:t>
            </w:r>
          </w:p>
        </w:tc>
      </w:tr>
      <w:tr w:rsidR="005F4CA4">
        <w:tc>
          <w:tcPr>
            <w:tcW w:w="4332" w:type="dxa"/>
            <w:tcBorders>
              <w:top w:val="nil"/>
              <w:left w:val="nil"/>
              <w:bottom w:val="nil"/>
              <w:right w:val="nil"/>
            </w:tcBorders>
          </w:tcPr>
          <w:p w:rsidR="005F4CA4" w:rsidRDefault="005F4CA4" w:rsidP="005F7147">
            <w:pPr>
              <w:widowControl w:val="0"/>
              <w:autoSpaceDE w:val="0"/>
              <w:autoSpaceDN w:val="0"/>
              <w:adjustRightInd w:val="0"/>
            </w:pPr>
            <w:r>
              <w:t>Mechanical Ventilation</w:t>
            </w:r>
          </w:p>
        </w:tc>
        <w:tc>
          <w:tcPr>
            <w:tcW w:w="1220" w:type="dxa"/>
            <w:tcBorders>
              <w:top w:val="nil"/>
              <w:left w:val="nil"/>
              <w:bottom w:val="nil"/>
              <w:right w:val="nil"/>
            </w:tcBorders>
          </w:tcPr>
          <w:p w:rsidR="005F4CA4" w:rsidRDefault="005F4CA4" w:rsidP="005F7147">
            <w:pPr>
              <w:widowControl w:val="0"/>
              <w:autoSpaceDE w:val="0"/>
              <w:autoSpaceDN w:val="0"/>
              <w:adjustRightInd w:val="0"/>
            </w:pPr>
            <w:r>
              <w:t>3</w:t>
            </w:r>
          </w:p>
        </w:tc>
      </w:tr>
      <w:tr w:rsidR="005F4CA4">
        <w:tc>
          <w:tcPr>
            <w:tcW w:w="4332" w:type="dxa"/>
            <w:tcBorders>
              <w:top w:val="nil"/>
              <w:left w:val="nil"/>
              <w:bottom w:val="nil"/>
              <w:right w:val="nil"/>
            </w:tcBorders>
          </w:tcPr>
          <w:p w:rsidR="005F4CA4" w:rsidRDefault="005F4CA4" w:rsidP="005F7147">
            <w:pPr>
              <w:widowControl w:val="0"/>
              <w:autoSpaceDE w:val="0"/>
              <w:autoSpaceDN w:val="0"/>
              <w:adjustRightInd w:val="0"/>
            </w:pPr>
            <w:r>
              <w:t>Discharged to a</w:t>
            </w:r>
            <w:r w:rsidR="00AC50BF">
              <w:t xml:space="preserve"> Rehabilitation</w:t>
            </w:r>
          </w:p>
        </w:tc>
        <w:tc>
          <w:tcPr>
            <w:tcW w:w="1220" w:type="dxa"/>
            <w:tcBorders>
              <w:top w:val="nil"/>
              <w:left w:val="nil"/>
              <w:bottom w:val="nil"/>
              <w:right w:val="nil"/>
            </w:tcBorders>
          </w:tcPr>
          <w:p w:rsidR="005F4CA4" w:rsidRDefault="005F4CA4" w:rsidP="005F7147">
            <w:pPr>
              <w:widowControl w:val="0"/>
              <w:autoSpaceDE w:val="0"/>
              <w:autoSpaceDN w:val="0"/>
              <w:adjustRightInd w:val="0"/>
            </w:pPr>
          </w:p>
        </w:tc>
      </w:tr>
      <w:tr w:rsidR="005F4CA4">
        <w:tc>
          <w:tcPr>
            <w:tcW w:w="4332" w:type="dxa"/>
            <w:tcBorders>
              <w:top w:val="nil"/>
              <w:left w:val="nil"/>
              <w:bottom w:val="nil"/>
              <w:right w:val="nil"/>
            </w:tcBorders>
          </w:tcPr>
          <w:p w:rsidR="005F4CA4" w:rsidRDefault="005F4CA4" w:rsidP="005F7147">
            <w:pPr>
              <w:widowControl w:val="0"/>
              <w:autoSpaceDE w:val="0"/>
              <w:autoSpaceDN w:val="0"/>
              <w:adjustRightInd w:val="0"/>
              <w:ind w:left="231"/>
            </w:pPr>
            <w:r>
              <w:t>Facility</w:t>
            </w:r>
          </w:p>
        </w:tc>
        <w:tc>
          <w:tcPr>
            <w:tcW w:w="1220" w:type="dxa"/>
            <w:tcBorders>
              <w:top w:val="nil"/>
              <w:left w:val="nil"/>
              <w:bottom w:val="nil"/>
              <w:right w:val="nil"/>
            </w:tcBorders>
          </w:tcPr>
          <w:p w:rsidR="005F4CA4" w:rsidRDefault="005F4CA4" w:rsidP="005F7147">
            <w:pPr>
              <w:widowControl w:val="0"/>
              <w:autoSpaceDE w:val="0"/>
              <w:autoSpaceDN w:val="0"/>
              <w:adjustRightInd w:val="0"/>
            </w:pPr>
            <w:r>
              <w:t>1</w:t>
            </w:r>
          </w:p>
        </w:tc>
      </w:tr>
    </w:tbl>
    <w:p w:rsidR="005F4CA4" w:rsidRDefault="005F4CA4" w:rsidP="005F7147">
      <w:pPr>
        <w:widowControl w:val="0"/>
        <w:autoSpaceDE w:val="0"/>
        <w:autoSpaceDN w:val="0"/>
        <w:adjustRightInd w:val="0"/>
        <w:ind w:left="3600" w:hanging="720"/>
      </w:pPr>
    </w:p>
    <w:p w:rsidR="005F4CA4" w:rsidRDefault="005F4CA4" w:rsidP="005F7147">
      <w:pPr>
        <w:widowControl w:val="0"/>
        <w:autoSpaceDE w:val="0"/>
        <w:autoSpaceDN w:val="0"/>
        <w:adjustRightInd w:val="0"/>
        <w:ind w:left="3600" w:hanging="720"/>
      </w:pPr>
      <w:r>
        <w:tab/>
        <w:t xml:space="preserve">The sum of all of the values is the total case value score for the patients admitted to the hospital. </w:t>
      </w:r>
    </w:p>
    <w:p w:rsidR="007636A5" w:rsidRDefault="007636A5" w:rsidP="005F7147">
      <w:pPr>
        <w:widowControl w:val="0"/>
        <w:autoSpaceDE w:val="0"/>
        <w:autoSpaceDN w:val="0"/>
        <w:adjustRightInd w:val="0"/>
        <w:ind w:left="3600" w:hanging="720"/>
      </w:pPr>
    </w:p>
    <w:p w:rsidR="005F4CA4" w:rsidRDefault="005F4CA4" w:rsidP="005F7147">
      <w:pPr>
        <w:widowControl w:val="0"/>
        <w:autoSpaceDE w:val="0"/>
        <w:autoSpaceDN w:val="0"/>
        <w:adjustRightInd w:val="0"/>
        <w:ind w:left="3600" w:hanging="720"/>
      </w:pPr>
      <w:r>
        <w:t>ii)</w:t>
      </w:r>
      <w:r>
        <w:tab/>
        <w:t xml:space="preserve">To determine the average length of stay, divide the total length of stay for all patients admitted to the hospital by the total number of patients admitted to the hospital. </w:t>
      </w:r>
    </w:p>
    <w:p w:rsidR="007636A5" w:rsidRDefault="007636A5" w:rsidP="005F7147">
      <w:pPr>
        <w:widowControl w:val="0"/>
        <w:autoSpaceDE w:val="0"/>
        <w:autoSpaceDN w:val="0"/>
        <w:adjustRightInd w:val="0"/>
        <w:ind w:left="2880" w:hanging="720"/>
      </w:pPr>
    </w:p>
    <w:p w:rsidR="005F4CA4" w:rsidRDefault="005F4CA4" w:rsidP="005F7147">
      <w:pPr>
        <w:widowControl w:val="0"/>
        <w:autoSpaceDE w:val="0"/>
        <w:autoSpaceDN w:val="0"/>
        <w:adjustRightInd w:val="0"/>
        <w:ind w:left="2880" w:hanging="720"/>
      </w:pPr>
      <w:r>
        <w:t>B)</w:t>
      </w:r>
      <w:r>
        <w:tab/>
        <w:t xml:space="preserve">To determine the total case value score for the initial trauma care patients, assign the case values for each initial trauma care patient treated by the hospital according to the following: </w:t>
      </w:r>
    </w:p>
    <w:p w:rsidR="005F4CA4" w:rsidRDefault="005F4CA4" w:rsidP="005F7147">
      <w:pPr>
        <w:widowControl w:val="0"/>
        <w:autoSpaceDE w:val="0"/>
        <w:autoSpaceDN w:val="0"/>
        <w:adjustRightInd w:val="0"/>
        <w:ind w:left="2880" w:hanging="720"/>
      </w:pPr>
    </w:p>
    <w:tbl>
      <w:tblPr>
        <w:tblW w:w="0" w:type="auto"/>
        <w:tblInd w:w="3672"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3306"/>
        <w:gridCol w:w="1539"/>
      </w:tblGrid>
      <w:tr w:rsidR="005F4CA4">
        <w:tc>
          <w:tcPr>
            <w:tcW w:w="3306" w:type="dxa"/>
            <w:tcBorders>
              <w:top w:val="nil"/>
              <w:left w:val="nil"/>
              <w:bottom w:val="nil"/>
              <w:right w:val="nil"/>
            </w:tcBorders>
          </w:tcPr>
          <w:p w:rsidR="005F4CA4" w:rsidRDefault="005F4CA4" w:rsidP="005F7147">
            <w:pPr>
              <w:widowControl w:val="0"/>
              <w:autoSpaceDE w:val="0"/>
              <w:autoSpaceDN w:val="0"/>
              <w:adjustRightInd w:val="0"/>
              <w:ind w:left="-195" w:hanging="171"/>
              <w:jc w:val="both"/>
            </w:pPr>
            <w:r>
              <w:t>Assigned observation status</w:t>
            </w:r>
            <w:r w:rsidR="007636A5">
              <w:t xml:space="preserve"> and had length of stay &gt; 12 hours from time of arrival in ED</w:t>
            </w:r>
          </w:p>
        </w:tc>
        <w:tc>
          <w:tcPr>
            <w:tcW w:w="1539" w:type="dxa"/>
            <w:tcBorders>
              <w:top w:val="nil"/>
              <w:left w:val="nil"/>
              <w:bottom w:val="nil"/>
              <w:right w:val="nil"/>
            </w:tcBorders>
            <w:vAlign w:val="bottom"/>
          </w:tcPr>
          <w:p w:rsidR="005F4CA4" w:rsidRDefault="00D4148D" w:rsidP="005F7147">
            <w:pPr>
              <w:widowControl w:val="0"/>
              <w:autoSpaceDE w:val="0"/>
              <w:autoSpaceDN w:val="0"/>
              <w:adjustRightInd w:val="0"/>
              <w:ind w:right="204"/>
              <w:jc w:val="center"/>
            </w:pPr>
            <w:r>
              <w:t>2</w:t>
            </w:r>
          </w:p>
        </w:tc>
      </w:tr>
      <w:tr w:rsidR="007636A5">
        <w:tc>
          <w:tcPr>
            <w:tcW w:w="3306" w:type="dxa"/>
            <w:tcBorders>
              <w:top w:val="nil"/>
              <w:left w:val="nil"/>
              <w:bottom w:val="nil"/>
              <w:right w:val="nil"/>
            </w:tcBorders>
          </w:tcPr>
          <w:p w:rsidR="007636A5" w:rsidRDefault="00D4148D" w:rsidP="005F7147">
            <w:pPr>
              <w:widowControl w:val="0"/>
              <w:autoSpaceDE w:val="0"/>
              <w:autoSpaceDN w:val="0"/>
              <w:adjustRightInd w:val="0"/>
              <w:ind w:left="-366"/>
            </w:pPr>
            <w:r>
              <w:t>Dead on arrival</w:t>
            </w:r>
          </w:p>
        </w:tc>
        <w:tc>
          <w:tcPr>
            <w:tcW w:w="1539" w:type="dxa"/>
            <w:tcBorders>
              <w:top w:val="nil"/>
              <w:left w:val="nil"/>
              <w:bottom w:val="nil"/>
              <w:right w:val="nil"/>
            </w:tcBorders>
            <w:vAlign w:val="bottom"/>
          </w:tcPr>
          <w:p w:rsidR="007636A5" w:rsidRDefault="00D4148D" w:rsidP="005F7147">
            <w:pPr>
              <w:widowControl w:val="0"/>
              <w:autoSpaceDE w:val="0"/>
              <w:autoSpaceDN w:val="0"/>
              <w:adjustRightInd w:val="0"/>
              <w:ind w:right="204"/>
              <w:jc w:val="center"/>
            </w:pPr>
            <w:r>
              <w:t>0</w:t>
            </w:r>
          </w:p>
        </w:tc>
      </w:tr>
      <w:tr w:rsidR="007636A5">
        <w:tc>
          <w:tcPr>
            <w:tcW w:w="3306" w:type="dxa"/>
            <w:tcBorders>
              <w:top w:val="nil"/>
              <w:left w:val="nil"/>
              <w:bottom w:val="nil"/>
              <w:right w:val="nil"/>
            </w:tcBorders>
          </w:tcPr>
          <w:p w:rsidR="007636A5" w:rsidRDefault="00D4148D" w:rsidP="005F7147">
            <w:pPr>
              <w:widowControl w:val="0"/>
              <w:autoSpaceDE w:val="0"/>
              <w:autoSpaceDN w:val="0"/>
              <w:adjustRightInd w:val="0"/>
              <w:ind w:left="-195" w:hanging="171"/>
            </w:pPr>
            <w:r>
              <w:t>Dying in emergency (DIE) with a trauma surgeon evaluation (TSE)</w:t>
            </w:r>
          </w:p>
        </w:tc>
        <w:tc>
          <w:tcPr>
            <w:tcW w:w="1539" w:type="dxa"/>
            <w:tcBorders>
              <w:top w:val="nil"/>
              <w:left w:val="nil"/>
              <w:bottom w:val="nil"/>
              <w:right w:val="nil"/>
            </w:tcBorders>
            <w:vAlign w:val="bottom"/>
          </w:tcPr>
          <w:p w:rsidR="007636A5" w:rsidRDefault="00D4148D" w:rsidP="005F7147">
            <w:pPr>
              <w:widowControl w:val="0"/>
              <w:autoSpaceDE w:val="0"/>
              <w:autoSpaceDN w:val="0"/>
              <w:adjustRightInd w:val="0"/>
              <w:ind w:right="-66"/>
              <w:jc w:val="center"/>
            </w:pPr>
            <w:r>
              <w:t>1.25</w:t>
            </w:r>
          </w:p>
        </w:tc>
      </w:tr>
      <w:tr w:rsidR="007636A5">
        <w:tc>
          <w:tcPr>
            <w:tcW w:w="3306" w:type="dxa"/>
            <w:tcBorders>
              <w:top w:val="nil"/>
              <w:left w:val="nil"/>
              <w:bottom w:val="nil"/>
              <w:right w:val="nil"/>
            </w:tcBorders>
          </w:tcPr>
          <w:p w:rsidR="007636A5" w:rsidRDefault="00D4148D" w:rsidP="005F7147">
            <w:pPr>
              <w:widowControl w:val="0"/>
              <w:autoSpaceDE w:val="0"/>
              <w:autoSpaceDN w:val="0"/>
              <w:adjustRightInd w:val="0"/>
              <w:ind w:hanging="309"/>
            </w:pPr>
            <w:r>
              <w:t>DIE without a TSE</w:t>
            </w:r>
          </w:p>
        </w:tc>
        <w:tc>
          <w:tcPr>
            <w:tcW w:w="1539" w:type="dxa"/>
            <w:tcBorders>
              <w:top w:val="nil"/>
              <w:left w:val="nil"/>
              <w:bottom w:val="nil"/>
              <w:right w:val="nil"/>
            </w:tcBorders>
            <w:vAlign w:val="bottom"/>
          </w:tcPr>
          <w:p w:rsidR="007636A5" w:rsidRDefault="00D4148D" w:rsidP="005F7147">
            <w:pPr>
              <w:widowControl w:val="0"/>
              <w:autoSpaceDE w:val="0"/>
              <w:autoSpaceDN w:val="0"/>
              <w:adjustRightInd w:val="0"/>
              <w:ind w:right="-156"/>
              <w:jc w:val="center"/>
            </w:pPr>
            <w:r>
              <w:t>.25</w:t>
            </w:r>
          </w:p>
        </w:tc>
      </w:tr>
      <w:tr w:rsidR="007636A5">
        <w:tc>
          <w:tcPr>
            <w:tcW w:w="3306" w:type="dxa"/>
            <w:tcBorders>
              <w:top w:val="nil"/>
              <w:left w:val="nil"/>
              <w:bottom w:val="nil"/>
              <w:right w:val="nil"/>
            </w:tcBorders>
          </w:tcPr>
          <w:p w:rsidR="007636A5" w:rsidRDefault="00D4148D" w:rsidP="005F7147">
            <w:pPr>
              <w:widowControl w:val="0"/>
              <w:autoSpaceDE w:val="0"/>
              <w:autoSpaceDN w:val="0"/>
              <w:adjustRightInd w:val="0"/>
              <w:ind w:left="-195" w:hanging="114"/>
            </w:pPr>
            <w:r>
              <w:t>Against medical advice (AMA) with a TSE</w:t>
            </w:r>
          </w:p>
        </w:tc>
        <w:tc>
          <w:tcPr>
            <w:tcW w:w="1539" w:type="dxa"/>
            <w:tcBorders>
              <w:top w:val="nil"/>
              <w:left w:val="nil"/>
              <w:bottom w:val="nil"/>
              <w:right w:val="nil"/>
            </w:tcBorders>
            <w:vAlign w:val="bottom"/>
          </w:tcPr>
          <w:p w:rsidR="007636A5" w:rsidRDefault="00D4148D" w:rsidP="005F7147">
            <w:pPr>
              <w:widowControl w:val="0"/>
              <w:autoSpaceDE w:val="0"/>
              <w:autoSpaceDN w:val="0"/>
              <w:adjustRightInd w:val="0"/>
              <w:jc w:val="center"/>
            </w:pPr>
            <w:r>
              <w:t>1.25</w:t>
            </w:r>
          </w:p>
        </w:tc>
      </w:tr>
      <w:tr w:rsidR="00D4148D">
        <w:tc>
          <w:tcPr>
            <w:tcW w:w="3306" w:type="dxa"/>
            <w:tcBorders>
              <w:top w:val="nil"/>
              <w:left w:val="nil"/>
              <w:bottom w:val="nil"/>
              <w:right w:val="nil"/>
            </w:tcBorders>
          </w:tcPr>
          <w:p w:rsidR="00D4148D" w:rsidRDefault="00D4148D" w:rsidP="005F7147">
            <w:pPr>
              <w:widowControl w:val="0"/>
              <w:autoSpaceDE w:val="0"/>
              <w:autoSpaceDN w:val="0"/>
              <w:adjustRightInd w:val="0"/>
              <w:ind w:left="-309" w:hanging="24"/>
            </w:pPr>
            <w:r>
              <w:t>AMA without TSE</w:t>
            </w:r>
          </w:p>
        </w:tc>
        <w:tc>
          <w:tcPr>
            <w:tcW w:w="1539" w:type="dxa"/>
            <w:tcBorders>
              <w:top w:val="nil"/>
              <w:left w:val="nil"/>
              <w:bottom w:val="nil"/>
              <w:right w:val="nil"/>
            </w:tcBorders>
            <w:vAlign w:val="bottom"/>
          </w:tcPr>
          <w:p w:rsidR="00D4148D" w:rsidRDefault="00D4148D" w:rsidP="005F7147">
            <w:pPr>
              <w:widowControl w:val="0"/>
              <w:autoSpaceDE w:val="0"/>
              <w:autoSpaceDN w:val="0"/>
              <w:adjustRightInd w:val="0"/>
              <w:ind w:right="-138"/>
              <w:jc w:val="center"/>
            </w:pPr>
            <w:r>
              <w:t>.25</w:t>
            </w:r>
          </w:p>
        </w:tc>
      </w:tr>
      <w:tr w:rsidR="00D4148D">
        <w:tc>
          <w:tcPr>
            <w:tcW w:w="3306" w:type="dxa"/>
            <w:tcBorders>
              <w:top w:val="nil"/>
              <w:left w:val="nil"/>
              <w:bottom w:val="nil"/>
              <w:right w:val="nil"/>
            </w:tcBorders>
          </w:tcPr>
          <w:p w:rsidR="00D4148D" w:rsidRDefault="00D4148D" w:rsidP="005F7147">
            <w:pPr>
              <w:widowControl w:val="0"/>
              <w:autoSpaceDE w:val="0"/>
              <w:autoSpaceDN w:val="0"/>
              <w:adjustRightInd w:val="0"/>
              <w:ind w:left="-309" w:hanging="24"/>
            </w:pPr>
            <w:r>
              <w:t>Transfer with TSE</w:t>
            </w:r>
          </w:p>
        </w:tc>
        <w:tc>
          <w:tcPr>
            <w:tcW w:w="1539" w:type="dxa"/>
            <w:tcBorders>
              <w:top w:val="nil"/>
              <w:left w:val="nil"/>
              <w:bottom w:val="nil"/>
              <w:right w:val="nil"/>
            </w:tcBorders>
            <w:vAlign w:val="bottom"/>
          </w:tcPr>
          <w:p w:rsidR="00D4148D" w:rsidRDefault="00D4148D" w:rsidP="005F7147">
            <w:pPr>
              <w:widowControl w:val="0"/>
              <w:autoSpaceDE w:val="0"/>
              <w:autoSpaceDN w:val="0"/>
              <w:adjustRightInd w:val="0"/>
              <w:ind w:right="-66"/>
              <w:jc w:val="center"/>
            </w:pPr>
            <w:r>
              <w:t>1.25</w:t>
            </w:r>
          </w:p>
        </w:tc>
      </w:tr>
      <w:tr w:rsidR="00D4148D">
        <w:tc>
          <w:tcPr>
            <w:tcW w:w="3306" w:type="dxa"/>
            <w:tcBorders>
              <w:top w:val="nil"/>
              <w:left w:val="nil"/>
              <w:bottom w:val="nil"/>
              <w:right w:val="nil"/>
            </w:tcBorders>
          </w:tcPr>
          <w:p w:rsidR="00D4148D" w:rsidRDefault="00D4148D" w:rsidP="005F7147">
            <w:pPr>
              <w:widowControl w:val="0"/>
              <w:autoSpaceDE w:val="0"/>
              <w:autoSpaceDN w:val="0"/>
              <w:adjustRightInd w:val="0"/>
              <w:ind w:left="-309"/>
            </w:pPr>
            <w:r>
              <w:t>Transfer without TSE</w:t>
            </w:r>
          </w:p>
        </w:tc>
        <w:tc>
          <w:tcPr>
            <w:tcW w:w="1539" w:type="dxa"/>
            <w:tcBorders>
              <w:top w:val="nil"/>
              <w:left w:val="nil"/>
              <w:bottom w:val="nil"/>
              <w:right w:val="nil"/>
            </w:tcBorders>
            <w:vAlign w:val="bottom"/>
          </w:tcPr>
          <w:p w:rsidR="00D4148D" w:rsidRDefault="00D4148D" w:rsidP="005F7147">
            <w:pPr>
              <w:widowControl w:val="0"/>
              <w:autoSpaceDE w:val="0"/>
              <w:autoSpaceDN w:val="0"/>
              <w:adjustRightInd w:val="0"/>
              <w:ind w:right="-183"/>
              <w:jc w:val="center"/>
            </w:pPr>
            <w:r>
              <w:t>.25</w:t>
            </w:r>
          </w:p>
        </w:tc>
      </w:tr>
    </w:tbl>
    <w:p w:rsidR="005F4CA4" w:rsidRDefault="005F4CA4" w:rsidP="005F7147">
      <w:pPr>
        <w:widowControl w:val="0"/>
        <w:autoSpaceDE w:val="0"/>
        <w:autoSpaceDN w:val="0"/>
        <w:adjustRightInd w:val="0"/>
        <w:ind w:left="2880" w:hanging="720"/>
      </w:pPr>
    </w:p>
    <w:p w:rsidR="005F4CA4" w:rsidRDefault="005F4CA4" w:rsidP="005F7147">
      <w:pPr>
        <w:widowControl w:val="0"/>
        <w:autoSpaceDE w:val="0"/>
        <w:autoSpaceDN w:val="0"/>
        <w:adjustRightInd w:val="0"/>
        <w:ind w:left="2880" w:hanging="720"/>
      </w:pPr>
      <w:r>
        <w:tab/>
        <w:t xml:space="preserve">The sum of all of the values is the total case value score for the initial trauma care patients treated by the hospital. </w:t>
      </w:r>
    </w:p>
    <w:p w:rsidR="007636A5" w:rsidRDefault="007636A5" w:rsidP="005F7147">
      <w:pPr>
        <w:widowControl w:val="0"/>
        <w:autoSpaceDE w:val="0"/>
        <w:autoSpaceDN w:val="0"/>
        <w:adjustRightInd w:val="0"/>
        <w:ind w:left="1440" w:hanging="720"/>
      </w:pPr>
    </w:p>
    <w:p w:rsidR="00891965" w:rsidRPr="009213EF" w:rsidRDefault="00891965" w:rsidP="005F7147">
      <w:pPr>
        <w:widowControl w:val="0"/>
        <w:autoSpaceDE w:val="0"/>
        <w:autoSpaceDN w:val="0"/>
        <w:adjustRightInd w:val="0"/>
        <w:ind w:left="1440" w:hanging="720"/>
      </w:pPr>
      <w:r w:rsidRPr="009213EF">
        <w:t>h)</w:t>
      </w:r>
      <w:r>
        <w:tab/>
      </w:r>
      <w:r w:rsidR="00CB7EDC">
        <w:t>I</w:t>
      </w:r>
      <w:r w:rsidRPr="009213EF">
        <w:t xml:space="preserve">n Regions where there are no designated trauma centers within the State boundaries, the monies collected within the Region will be equally distributed to Illinois hospitals providing emergency services. All non-trauma center hospitals receiving equal distribution of trauma center funds shall report all patients meeting inclusion criteria for the Head and Spinal Violent Injury </w:t>
      </w:r>
      <w:r w:rsidR="00AC50BF">
        <w:t>(</w:t>
      </w:r>
      <w:proofErr w:type="spellStart"/>
      <w:r w:rsidR="00AC50BF">
        <w:t>HSVI</w:t>
      </w:r>
      <w:proofErr w:type="spellEnd"/>
      <w:r w:rsidR="00AC50BF">
        <w:t xml:space="preserve">) </w:t>
      </w:r>
      <w:r w:rsidRPr="009213EF">
        <w:t xml:space="preserve">Registry, per </w:t>
      </w:r>
      <w:r w:rsidR="00AC50BF">
        <w:t xml:space="preserve">77 Ill. Adm. Code </w:t>
      </w:r>
      <w:r w:rsidRPr="009213EF">
        <w:t xml:space="preserve">550.120(d) </w:t>
      </w:r>
      <w:r w:rsidR="00AC50BF">
        <w:t>(</w:t>
      </w:r>
      <w:r w:rsidRPr="009213EF">
        <w:t>Head and Spinal Cord Injury Code</w:t>
      </w:r>
      <w:r w:rsidR="00AC50BF">
        <w:t>)</w:t>
      </w:r>
      <w:r w:rsidRPr="009213EF">
        <w:t>, prior to</w:t>
      </w:r>
      <w:r w:rsidRPr="00891965">
        <w:t xml:space="preserve"> </w:t>
      </w:r>
      <w:r w:rsidRPr="009213EF">
        <w:t>receiving any funds. Hospitals not reporting all such patients shall be precluded from receiving any funds.</w:t>
      </w:r>
    </w:p>
    <w:p w:rsidR="00891965" w:rsidRPr="009213EF" w:rsidRDefault="00891965" w:rsidP="005F7147">
      <w:pPr>
        <w:widowControl w:val="0"/>
        <w:autoSpaceDE w:val="0"/>
        <w:autoSpaceDN w:val="0"/>
        <w:adjustRightInd w:val="0"/>
        <w:ind w:left="1440" w:hanging="720"/>
      </w:pPr>
    </w:p>
    <w:p w:rsidR="00891965" w:rsidRPr="009213EF" w:rsidRDefault="00891965" w:rsidP="005F7147">
      <w:pPr>
        <w:widowControl w:val="0"/>
        <w:autoSpaceDE w:val="0"/>
        <w:autoSpaceDN w:val="0"/>
        <w:adjustRightInd w:val="0"/>
        <w:ind w:left="1440" w:hanging="720"/>
      </w:pPr>
      <w:proofErr w:type="spellStart"/>
      <w:r w:rsidRPr="009213EF">
        <w:t>i</w:t>
      </w:r>
      <w:proofErr w:type="spellEnd"/>
      <w:r w:rsidRPr="009213EF">
        <w:t>)</w:t>
      </w:r>
      <w:r>
        <w:tab/>
      </w:r>
      <w:r w:rsidRPr="009213EF">
        <w:t>Hospitals receiving trauma center funds shall demonstrate within the hospital</w:t>
      </w:r>
      <w:r w:rsidR="00AC50BF">
        <w:t>'</w:t>
      </w:r>
      <w:r w:rsidRPr="009213EF">
        <w:t xml:space="preserve">s budget how monies received from the </w:t>
      </w:r>
      <w:r w:rsidR="00AC50BF">
        <w:t>T</w:t>
      </w:r>
      <w:r w:rsidRPr="009213EF">
        <w:t xml:space="preserve">rauma </w:t>
      </w:r>
      <w:r w:rsidR="00AC50BF">
        <w:t>C</w:t>
      </w:r>
      <w:r w:rsidRPr="009213EF">
        <w:t xml:space="preserve">enter </w:t>
      </w:r>
      <w:r w:rsidR="00AC50BF">
        <w:t>F</w:t>
      </w:r>
      <w:r w:rsidRPr="009213EF">
        <w:t>und are being used to provide emergency services related to care of injured patients.</w:t>
      </w:r>
    </w:p>
    <w:p w:rsidR="00891965" w:rsidRPr="009213EF" w:rsidRDefault="00891965" w:rsidP="005F7147">
      <w:pPr>
        <w:widowControl w:val="0"/>
        <w:autoSpaceDE w:val="0"/>
        <w:autoSpaceDN w:val="0"/>
        <w:adjustRightInd w:val="0"/>
        <w:ind w:left="1440" w:hanging="720"/>
      </w:pPr>
    </w:p>
    <w:p w:rsidR="00891965" w:rsidRPr="009213EF" w:rsidRDefault="00891965" w:rsidP="005F7147">
      <w:pPr>
        <w:widowControl w:val="0"/>
        <w:autoSpaceDE w:val="0"/>
        <w:autoSpaceDN w:val="0"/>
        <w:adjustRightInd w:val="0"/>
        <w:ind w:left="1440" w:hanging="720"/>
      </w:pPr>
      <w:r w:rsidRPr="009213EF">
        <w:t>j)</w:t>
      </w:r>
      <w:r w:rsidRPr="009213EF">
        <w:tab/>
        <w:t>The Department may request and the hospital shall supply hospital financial records to substantiate that funds are used appropriately for emergency services related to care of injured patients.</w:t>
      </w:r>
    </w:p>
    <w:p w:rsidR="00891965" w:rsidRPr="009213EF" w:rsidRDefault="00891965" w:rsidP="005F7147">
      <w:pPr>
        <w:widowControl w:val="0"/>
        <w:autoSpaceDE w:val="0"/>
        <w:autoSpaceDN w:val="0"/>
        <w:adjustRightInd w:val="0"/>
        <w:ind w:left="2160" w:hanging="720"/>
      </w:pPr>
    </w:p>
    <w:p w:rsidR="00891965" w:rsidRPr="009213EF" w:rsidRDefault="00891965" w:rsidP="005F7147">
      <w:pPr>
        <w:widowControl w:val="0"/>
        <w:autoSpaceDE w:val="0"/>
        <w:autoSpaceDN w:val="0"/>
        <w:adjustRightInd w:val="0"/>
        <w:ind w:left="1440" w:hanging="720"/>
      </w:pPr>
      <w:r w:rsidRPr="009213EF">
        <w:t>k)</w:t>
      </w:r>
      <w:r w:rsidRPr="009213EF">
        <w:tab/>
        <w:t>The hospital shall allocate funds for expenditure within 12 months after funds are received.</w:t>
      </w:r>
    </w:p>
    <w:p w:rsidR="00891965" w:rsidRPr="009213EF" w:rsidRDefault="00891965" w:rsidP="005F7147">
      <w:pPr>
        <w:widowControl w:val="0"/>
        <w:autoSpaceDE w:val="0"/>
        <w:autoSpaceDN w:val="0"/>
        <w:adjustRightInd w:val="0"/>
        <w:ind w:left="1440" w:hanging="720"/>
      </w:pPr>
    </w:p>
    <w:p w:rsidR="00891965" w:rsidRPr="009213EF" w:rsidRDefault="00891965" w:rsidP="005F7147">
      <w:pPr>
        <w:widowControl w:val="0"/>
        <w:autoSpaceDE w:val="0"/>
        <w:autoSpaceDN w:val="0"/>
        <w:adjustRightInd w:val="0"/>
        <w:ind w:left="1440" w:hanging="720"/>
      </w:pPr>
      <w:r w:rsidRPr="009213EF">
        <w:t>l)</w:t>
      </w:r>
      <w:r w:rsidRPr="009213EF">
        <w:tab/>
        <w:t>All funds remaining at the end of the period of time in which trauma center funds are available for expenditure (June 30 of the fiscal year in which the funds were awarded) shall be returned to the State within 45 days.</w:t>
      </w:r>
    </w:p>
    <w:p w:rsidR="00891965" w:rsidRDefault="00891965" w:rsidP="005F7147">
      <w:pPr>
        <w:widowControl w:val="0"/>
        <w:autoSpaceDE w:val="0"/>
        <w:autoSpaceDN w:val="0"/>
        <w:adjustRightInd w:val="0"/>
        <w:ind w:left="1440" w:hanging="720"/>
      </w:pPr>
    </w:p>
    <w:p w:rsidR="005F4CA4" w:rsidRDefault="00891965" w:rsidP="005F7147">
      <w:pPr>
        <w:widowControl w:val="0"/>
        <w:autoSpaceDE w:val="0"/>
        <w:autoSpaceDN w:val="0"/>
        <w:adjustRightInd w:val="0"/>
        <w:ind w:left="1440" w:hanging="720"/>
      </w:pPr>
      <w:r>
        <w:t>m</w:t>
      </w:r>
      <w:r w:rsidR="005F4CA4">
        <w:t>)</w:t>
      </w:r>
      <w:r w:rsidR="005F4CA4">
        <w:tab/>
        <w:t xml:space="preserve">The Department will distribute funds from the Trauma Center Fund within 90 days after July 1 of each year. </w:t>
      </w:r>
    </w:p>
    <w:p w:rsidR="005F4CA4" w:rsidRDefault="005F4CA4" w:rsidP="005F7147">
      <w:pPr>
        <w:widowControl w:val="0"/>
        <w:autoSpaceDE w:val="0"/>
        <w:autoSpaceDN w:val="0"/>
        <w:adjustRightInd w:val="0"/>
        <w:ind w:left="1440" w:hanging="720"/>
      </w:pPr>
    </w:p>
    <w:p w:rsidR="00891965" w:rsidRPr="00D55B37" w:rsidRDefault="00891965" w:rsidP="005F7147">
      <w:pPr>
        <w:pStyle w:val="JCARSourceNote"/>
        <w:ind w:left="720"/>
      </w:pPr>
      <w:r w:rsidRPr="00D55B37">
        <w:t xml:space="preserve">(Source:  </w:t>
      </w:r>
      <w:r>
        <w:t>Amended</w:t>
      </w:r>
      <w:r w:rsidRPr="00D55B37">
        <w:t xml:space="preserve"> at </w:t>
      </w:r>
      <w:r>
        <w:t>36 I</w:t>
      </w:r>
      <w:r w:rsidRPr="00D55B37">
        <w:t xml:space="preserve">ll. Reg. </w:t>
      </w:r>
      <w:r w:rsidR="003A4F01">
        <w:t>11196</w:t>
      </w:r>
      <w:r w:rsidRPr="00D55B37">
        <w:t xml:space="preserve">, effective </w:t>
      </w:r>
      <w:r w:rsidR="003A4F01">
        <w:t>July 3, 2012</w:t>
      </w:r>
      <w:r w:rsidRPr="00D55B37">
        <w:t>)</w:t>
      </w:r>
    </w:p>
    <w:sectPr w:rsidR="00891965" w:rsidRPr="00D55B37" w:rsidSect="005F4C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4CA4"/>
    <w:rsid w:val="0002177D"/>
    <w:rsid w:val="00221BD6"/>
    <w:rsid w:val="00245815"/>
    <w:rsid w:val="00302187"/>
    <w:rsid w:val="003A4F01"/>
    <w:rsid w:val="005C3366"/>
    <w:rsid w:val="005F4CA4"/>
    <w:rsid w:val="005F7147"/>
    <w:rsid w:val="007636A5"/>
    <w:rsid w:val="00772EF3"/>
    <w:rsid w:val="0079520B"/>
    <w:rsid w:val="007F1419"/>
    <w:rsid w:val="00891965"/>
    <w:rsid w:val="009C081A"/>
    <w:rsid w:val="009F4FAB"/>
    <w:rsid w:val="00AC50BF"/>
    <w:rsid w:val="00CA4357"/>
    <w:rsid w:val="00CB7EDC"/>
    <w:rsid w:val="00D4148D"/>
    <w:rsid w:val="00E3459C"/>
    <w:rsid w:val="00F6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122B49C-3F7F-4350-8209-290A75DD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91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Thomas, Vicki D.</cp:lastModifiedBy>
  <cp:revision>5</cp:revision>
  <cp:lastPrinted>2003-11-13T17:41:00Z</cp:lastPrinted>
  <dcterms:created xsi:type="dcterms:W3CDTF">2012-06-22T03:34:00Z</dcterms:created>
  <dcterms:modified xsi:type="dcterms:W3CDTF">2016-09-14T19:36:00Z</dcterms:modified>
</cp:coreProperties>
</file>