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86" w:rsidRDefault="008F0386" w:rsidP="008F03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386" w:rsidRDefault="008F0386" w:rsidP="008F0386">
      <w:pPr>
        <w:widowControl w:val="0"/>
        <w:autoSpaceDE w:val="0"/>
        <w:autoSpaceDN w:val="0"/>
        <w:adjustRightInd w:val="0"/>
      </w:pPr>
      <w:r>
        <w:t xml:space="preserve">AUTHORITY:  Implementing and authorized by Section 10 of the Family Practice Residency Act [110 ILCS 935/10] and Sections 2310-200 and 2310-205 of the Department of Public Health Powers and Duties Law of the Civil Administrative Code [20 ILCS 2310/2310-20 and 2310-205]. </w:t>
      </w:r>
    </w:p>
    <w:sectPr w:rsidR="008F0386" w:rsidSect="008F0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386"/>
    <w:rsid w:val="002B16E7"/>
    <w:rsid w:val="005C3366"/>
    <w:rsid w:val="008B4B69"/>
    <w:rsid w:val="008F0386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 of the Family Practice Residency Act [110 ILCS 935/10] and Sections 2310</vt:lpstr>
    </vt:vector>
  </TitlesOfParts>
  <Company>General Assembly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 of the Family Practice Residency Act [110 ILCS 935/10] and Sections 2310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