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9A" w:rsidRDefault="001A449A" w:rsidP="001A44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449A" w:rsidRDefault="001A449A" w:rsidP="001A449A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594.100  Availability of Funds</w:t>
      </w:r>
      <w:r>
        <w:t xml:space="preserve"> </w:t>
      </w:r>
    </w:p>
    <w:p w:rsidR="001A449A" w:rsidRDefault="001A449A" w:rsidP="001A449A">
      <w:pPr>
        <w:widowControl w:val="0"/>
        <w:autoSpaceDE w:val="0"/>
        <w:autoSpaceDN w:val="0"/>
        <w:adjustRightInd w:val="0"/>
      </w:pPr>
    </w:p>
    <w:p w:rsidR="001A449A" w:rsidRDefault="001A449A" w:rsidP="001A449A">
      <w:pPr>
        <w:widowControl w:val="0"/>
        <w:autoSpaceDE w:val="0"/>
        <w:autoSpaceDN w:val="0"/>
        <w:adjustRightInd w:val="0"/>
      </w:pPr>
      <w:r>
        <w:t xml:space="preserve">From monies deposited into the Community Health Center Care Fund since January 1, 1992, a sum not to exceed $300,000 will be transferred to the Authority, pursuant to Public Act 88-0535, effective January 26, 1994 (see Section 10 of the Family Practice Residency Act).  The transfer will be a one-time, lump sum payment. </w:t>
      </w:r>
    </w:p>
    <w:p w:rsidR="001A449A" w:rsidRDefault="001A449A" w:rsidP="001A449A">
      <w:pPr>
        <w:widowControl w:val="0"/>
        <w:autoSpaceDE w:val="0"/>
        <w:autoSpaceDN w:val="0"/>
        <w:adjustRightInd w:val="0"/>
      </w:pPr>
    </w:p>
    <w:p w:rsidR="001A449A" w:rsidRDefault="001A449A" w:rsidP="001A449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14507, effective November 1, 2001) </w:t>
      </w:r>
    </w:p>
    <w:sectPr w:rsidR="001A449A" w:rsidSect="001A44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449A"/>
    <w:rsid w:val="001A449A"/>
    <w:rsid w:val="002C75DF"/>
    <w:rsid w:val="0045555B"/>
    <w:rsid w:val="005C3366"/>
    <w:rsid w:val="0077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594</vt:lpstr>
    </vt:vector>
  </TitlesOfParts>
  <Company>General Assembly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594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