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A9" w:rsidRDefault="007C2FA9" w:rsidP="00C474E6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672.505  Federally Mandated Vendor Sanctions</w:t>
      </w:r>
      <w:r>
        <w:t xml:space="preserve"> </w:t>
      </w:r>
    </w:p>
    <w:p w:rsidR="007C2FA9" w:rsidRDefault="007C2FA9" w:rsidP="00C474E6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</w:pPr>
      <w:r>
        <w:t>Vendors shall receive the following sanctions for the following violations as mandated by 7 CFR 246</w:t>
      </w:r>
      <w:r w:rsidR="00CB685E" w:rsidRPr="00CB685E">
        <w:t>.12</w:t>
      </w:r>
      <w:r>
        <w:t xml:space="preserve">: </w:t>
      </w:r>
    </w:p>
    <w:p w:rsidR="00B13FCA" w:rsidRDefault="00B13FCA" w:rsidP="00C474E6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Permanent </w:t>
      </w:r>
      <w:r w:rsidR="000640C4">
        <w:t>Disqualification</w:t>
      </w:r>
      <w:r>
        <w:t xml:space="preserve">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Department </w:t>
      </w:r>
      <w:r w:rsidR="007928E5" w:rsidRPr="007928E5">
        <w:t xml:space="preserve">will </w:t>
      </w:r>
      <w:r>
        <w:t xml:space="preserve">permanently disqualify a Vendor convicted of: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trafficking in </w:t>
      </w:r>
      <w:r w:rsidR="00C97D06">
        <w:t>Food Benefits</w:t>
      </w:r>
      <w:r>
        <w:t xml:space="preserve">; or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selling firearms, ammunition, explosives, or controlled substances (as defined in section </w:t>
      </w:r>
      <w:r w:rsidR="0001408F">
        <w:t xml:space="preserve">802 </w:t>
      </w:r>
      <w:r>
        <w:t xml:space="preserve">of the Controlled Substances Act (21 USC 802), in exchange for </w:t>
      </w:r>
      <w:r w:rsidR="00C97D06">
        <w:t>F</w:t>
      </w:r>
      <w:r w:rsidR="000640C4">
        <w:t xml:space="preserve">ood </w:t>
      </w:r>
      <w:r w:rsidR="00C97D06">
        <w:t>B</w:t>
      </w:r>
      <w:r w:rsidR="000640C4">
        <w:t>enefits</w:t>
      </w:r>
      <w:r>
        <w:t xml:space="preserve">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 w:rsidR="007928E5">
        <w:t xml:space="preserve">Vendor </w:t>
      </w:r>
      <w:r>
        <w:t xml:space="preserve">shall not be entitled to receive any compensation for revenues lost as a result of </w:t>
      </w:r>
      <w:r w:rsidR="000640C4">
        <w:t>a</w:t>
      </w:r>
      <w:r>
        <w:t xml:space="preserve"> violation.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Department </w:t>
      </w:r>
      <w:r w:rsidR="007928E5" w:rsidRPr="007928E5">
        <w:t xml:space="preserve">will </w:t>
      </w:r>
      <w:r>
        <w:t xml:space="preserve">impose a civil money penalty in lieu of a disqualification for a violation when it determines, in its sole discretion, and documents that: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7C2FA9" w:rsidP="00C474E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Disqualification of the Vendor would result in inadequate Participant </w:t>
      </w:r>
      <w:r w:rsidR="008B51E6">
        <w:t>access</w:t>
      </w:r>
      <w:r>
        <w:t xml:space="preserve">; or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Vendor had, at the time of the violation, a policy and program in effect to prevent trafficking</w:t>
      </w:r>
      <w:r w:rsidR="000640C4">
        <w:t>,</w:t>
      </w:r>
      <w:r>
        <w:t xml:space="preserve"> and the ownership of the Vendor was not aware of, did not approve of, and was not involved in the conduct of the violation.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="00275722">
        <w:t>Six-Y</w:t>
      </w:r>
      <w:r w:rsidR="00E9190A">
        <w:t>ear</w:t>
      </w:r>
      <w:r w:rsidR="000640C4">
        <w:t xml:space="preserve"> Disqualification</w:t>
      </w:r>
      <w:r>
        <w:t xml:space="preserve"> </w:t>
      </w:r>
    </w:p>
    <w:p w:rsidR="007C2FA9" w:rsidRDefault="007C2FA9" w:rsidP="00C474E6">
      <w:pPr>
        <w:widowControl w:val="0"/>
        <w:autoSpaceDE w:val="0"/>
        <w:autoSpaceDN w:val="0"/>
        <w:adjustRightInd w:val="0"/>
        <w:ind w:left="720" w:firstLine="720"/>
      </w:pPr>
      <w:r>
        <w:t xml:space="preserve">The Department </w:t>
      </w:r>
      <w:r w:rsidR="007928E5" w:rsidRPr="007928E5">
        <w:t xml:space="preserve">will </w:t>
      </w:r>
      <w:r>
        <w:t xml:space="preserve">disqualify a Vendor for </w:t>
      </w:r>
      <w:r w:rsidR="000640C4">
        <w:t>6</w:t>
      </w:r>
      <w:r>
        <w:t xml:space="preserve"> years for: </w:t>
      </w:r>
    </w:p>
    <w:p w:rsidR="00832295" w:rsidRDefault="00832295" w:rsidP="00EF3272">
      <w:pPr>
        <w:widowControl w:val="0"/>
        <w:autoSpaceDE w:val="0"/>
        <w:autoSpaceDN w:val="0"/>
        <w:adjustRightInd w:val="0"/>
      </w:pPr>
    </w:p>
    <w:p w:rsidR="00C474E6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one incident of buying or selling </w:t>
      </w:r>
      <w:r w:rsidR="00C97D06">
        <w:t>F</w:t>
      </w:r>
      <w:r w:rsidR="000640C4">
        <w:t xml:space="preserve">ood </w:t>
      </w:r>
      <w:r w:rsidR="00C97D06">
        <w:t>B</w:t>
      </w:r>
      <w:r w:rsidR="000640C4">
        <w:t>enefits</w:t>
      </w:r>
      <w:r>
        <w:t xml:space="preserve"> for cash (trafficking); or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one incident of selling firearms, ammunition, explosives or controlled substances as defined in 21 </w:t>
      </w:r>
      <w:r w:rsidR="00817360">
        <w:t>U.S.C.</w:t>
      </w:r>
      <w:r>
        <w:t xml:space="preserve"> 802, in exchange for </w:t>
      </w:r>
      <w:r w:rsidR="00C97D06">
        <w:t>F</w:t>
      </w:r>
      <w:r w:rsidR="000640C4">
        <w:t xml:space="preserve">ood </w:t>
      </w:r>
      <w:r w:rsidR="00C97D06">
        <w:t>B</w:t>
      </w:r>
      <w:r w:rsidR="000640C4">
        <w:t>enefits</w:t>
      </w:r>
      <w:r>
        <w:t xml:space="preserve">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</w:r>
      <w:r w:rsidR="00275722">
        <w:t>Three-Y</w:t>
      </w:r>
      <w:r w:rsidR="00E9190A">
        <w:t>ear</w:t>
      </w:r>
      <w:r w:rsidR="000640C4">
        <w:t xml:space="preserve"> Disqualification</w:t>
      </w:r>
      <w:r>
        <w:t xml:space="preserve"> </w:t>
      </w:r>
    </w:p>
    <w:p w:rsidR="000640C4" w:rsidRDefault="000640C4" w:rsidP="00EF3272">
      <w:pPr>
        <w:widowControl w:val="0"/>
        <w:autoSpaceDE w:val="0"/>
        <w:autoSpaceDN w:val="0"/>
        <w:adjustRightInd w:val="0"/>
      </w:pPr>
    </w:p>
    <w:p w:rsidR="007C2FA9" w:rsidRDefault="000640C4" w:rsidP="00C474E6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</w:r>
      <w:r w:rsidR="007C2FA9">
        <w:t xml:space="preserve">The Department shall disqualify a Vendor for </w:t>
      </w:r>
      <w:r>
        <w:t>3</w:t>
      </w:r>
      <w:r w:rsidR="007C2FA9">
        <w:t xml:space="preserve"> years for: </w:t>
      </w:r>
    </w:p>
    <w:p w:rsidR="0055646C" w:rsidRDefault="0055646C" w:rsidP="00EF3272">
      <w:pPr>
        <w:widowControl w:val="0"/>
        <w:autoSpaceDE w:val="0"/>
        <w:autoSpaceDN w:val="0"/>
        <w:adjustRightInd w:val="0"/>
      </w:pPr>
    </w:p>
    <w:p w:rsidR="00C474E6" w:rsidRDefault="000640C4" w:rsidP="000640C4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7C2FA9">
        <w:t>)</w:t>
      </w:r>
      <w:r w:rsidR="007C2FA9">
        <w:tab/>
        <w:t xml:space="preserve">One incident of the sale of alcohol or alcoholic beverages or tobacco products in exchange for </w:t>
      </w:r>
      <w:r w:rsidR="00C97D06">
        <w:t>Fo</w:t>
      </w:r>
      <w:r>
        <w:t xml:space="preserve">od </w:t>
      </w:r>
      <w:r w:rsidR="00C97D06">
        <w:t>B</w:t>
      </w:r>
      <w:r>
        <w:t>enefits</w:t>
      </w:r>
      <w:r w:rsidR="007C2FA9">
        <w:t xml:space="preserve">;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0640C4" w:rsidP="000640C4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</w:t>
      </w:r>
      <w:r w:rsidR="007C2FA9">
        <w:t>)</w:t>
      </w:r>
      <w:r w:rsidR="007C2FA9">
        <w:tab/>
        <w:t xml:space="preserve">A pattern of claiming reimbursement for the sale of an amount of specific supplemental food item </w:t>
      </w:r>
      <w:r w:rsidR="00955BD2">
        <w:t xml:space="preserve">that </w:t>
      </w:r>
      <w:r w:rsidR="007C2FA9">
        <w:t xml:space="preserve">exceeds the store's documented inventory of that supplemental food item for a specified period of time;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0640C4" w:rsidP="000640C4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7C2FA9">
        <w:t>)</w:t>
      </w:r>
      <w:r w:rsidR="007C2FA9">
        <w:tab/>
        <w:t xml:space="preserve">A pattern of charging WIC </w:t>
      </w:r>
      <w:r w:rsidR="00E9190A">
        <w:t>Cardholders</w:t>
      </w:r>
      <w:r w:rsidR="0055646C">
        <w:t xml:space="preserve"> </w:t>
      </w:r>
      <w:r w:rsidR="007C2FA9">
        <w:t xml:space="preserve">more for supplemental food than non-WIC customers </w:t>
      </w:r>
      <w:r w:rsidR="00302713">
        <w:t>and/</w:t>
      </w:r>
      <w:r w:rsidR="007C2FA9">
        <w:t xml:space="preserve">or charging Participants more than the current shelf </w:t>
      </w:r>
      <w:r w:rsidR="0055646C">
        <w:t>price, including any posted sale price or discount, and/or charging Participants more than what is permitted under the WIC Vendor Contract</w:t>
      </w:r>
      <w:r w:rsidR="007C2FA9">
        <w:t xml:space="preserve">;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0640C4" w:rsidP="000640C4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7C2FA9">
        <w:t>)</w:t>
      </w:r>
      <w:r w:rsidR="007C2FA9">
        <w:tab/>
        <w:t xml:space="preserve">A pattern of receiving, transacting and/or redeeming </w:t>
      </w:r>
      <w:r w:rsidR="00C97D06">
        <w:t>F</w:t>
      </w:r>
      <w:r>
        <w:t xml:space="preserve">ood </w:t>
      </w:r>
      <w:r w:rsidR="00C97D06">
        <w:t>B</w:t>
      </w:r>
      <w:r>
        <w:t>enefits</w:t>
      </w:r>
      <w:r w:rsidR="007C2FA9">
        <w:t xml:space="preserve"> outside of authorized channels, including the use of an unauthorized Vendor and/or unauthorized person;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0640C4" w:rsidP="000640C4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7C2FA9">
        <w:t>)</w:t>
      </w:r>
      <w:r w:rsidR="007C2FA9">
        <w:tab/>
        <w:t xml:space="preserve">A pattern of charging for supplemental food not received by the Participant; or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0640C4" w:rsidP="000640C4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7C2FA9">
        <w:t>)</w:t>
      </w:r>
      <w:r w:rsidR="007C2FA9">
        <w:tab/>
        <w:t>A pattern of providing credit or non-food items, other than alcohol, alcoholic beverages, tobacco products, cash, firearms, ammunition, explosives, or controlled substances as defined in 21 USC</w:t>
      </w:r>
      <w:r w:rsidR="00CB685E">
        <w:t xml:space="preserve"> </w:t>
      </w:r>
      <w:r w:rsidR="00CB685E" w:rsidRPr="00CB685E">
        <w:t>802</w:t>
      </w:r>
      <w:r w:rsidR="007C2FA9">
        <w:t xml:space="preserve">, in exchange for </w:t>
      </w:r>
      <w:r w:rsidR="00C97D06">
        <w:t>Fo</w:t>
      </w:r>
      <w:r>
        <w:t xml:space="preserve">od </w:t>
      </w:r>
      <w:r w:rsidR="00C97D06">
        <w:t>B</w:t>
      </w:r>
      <w:r>
        <w:t>enefits</w:t>
      </w:r>
      <w:r w:rsidR="007C2FA9">
        <w:t xml:space="preserve">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B685E" w:rsidRDefault="000640C4" w:rsidP="000640C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B685E" w:rsidRPr="00CB685E">
        <w:t xml:space="preserve">For the purpose of this Section, a "pattern" </w:t>
      </w:r>
      <w:r w:rsidR="007928E5" w:rsidRPr="007928E5">
        <w:t xml:space="preserve">will </w:t>
      </w:r>
      <w:r w:rsidR="00CB685E" w:rsidRPr="00CB685E">
        <w:t xml:space="preserve">be activity that is repeated a significant number of times.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55646C" w:rsidRDefault="000640C4" w:rsidP="000640C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5646C">
        <w:t xml:space="preserve">For the purpose of determining a "pattern" of overcharging violations as set forth in </w:t>
      </w:r>
      <w:r>
        <w:t xml:space="preserve">subsections </w:t>
      </w:r>
      <w:r w:rsidR="0055646C">
        <w:t>(c)</w:t>
      </w:r>
      <w:r>
        <w:t>(1)(C)</w:t>
      </w:r>
      <w:r w:rsidR="0055646C">
        <w:t xml:space="preserve"> and (c)</w:t>
      </w:r>
      <w:r>
        <w:t>(1)(E)</w:t>
      </w:r>
      <w:r w:rsidR="0055646C">
        <w:t xml:space="preserve">, three or more instances of the activity described in </w:t>
      </w:r>
      <w:r>
        <w:t>those subsections</w:t>
      </w:r>
      <w:r w:rsidR="008B51E6">
        <w:t xml:space="preserve"> </w:t>
      </w:r>
      <w:r w:rsidR="005240A5">
        <w:t>alone, but not in combination with each other</w:t>
      </w:r>
      <w:r w:rsidR="0055646C">
        <w:t xml:space="preserve"> within a period of </w:t>
      </w:r>
      <w:r>
        <w:t>18</w:t>
      </w:r>
      <w:r w:rsidR="0055646C">
        <w:t xml:space="preserve"> months, shall be significant and constitute a pattern.</w:t>
      </w:r>
    </w:p>
    <w:p w:rsidR="0055646C" w:rsidRDefault="0055646C" w:rsidP="00EF3272">
      <w:pPr>
        <w:widowControl w:val="0"/>
        <w:autoSpaceDE w:val="0"/>
        <w:autoSpaceDN w:val="0"/>
        <w:adjustRightInd w:val="0"/>
      </w:pPr>
    </w:p>
    <w:p w:rsidR="0055646C" w:rsidRDefault="000640C4" w:rsidP="000640C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55646C">
        <w:t xml:space="preserve">With regard to </w:t>
      </w:r>
      <w:r>
        <w:t>subsection (c)(1)(C)</w:t>
      </w:r>
      <w:r w:rsidR="0055646C">
        <w:t xml:space="preserve">, overcharges of 40 cents or more, or overcharges which constitute 7% or more of the total amount of sale of WIC Foods to the overcharged </w:t>
      </w:r>
      <w:r w:rsidR="00C35EB7">
        <w:t>Participant</w:t>
      </w:r>
      <w:r w:rsidR="0055646C">
        <w:t xml:space="preserve"> on that date, </w:t>
      </w:r>
      <w:r w:rsidR="007928E5" w:rsidRPr="007928E5">
        <w:t xml:space="preserve">will </w:t>
      </w:r>
      <w:r w:rsidR="0055646C">
        <w:t xml:space="preserve">be considered significant for the purpose of determining a pattern.  Charging for </w:t>
      </w:r>
      <w:r w:rsidR="00C35EB7">
        <w:t>items</w:t>
      </w:r>
      <w:r w:rsidR="0055646C">
        <w:t xml:space="preserve"> not received, as set forth in </w:t>
      </w:r>
      <w:r w:rsidR="00C35EB7">
        <w:t>subsection (c)(1)(E)</w:t>
      </w:r>
      <w:r w:rsidR="0055646C">
        <w:t xml:space="preserve">, </w:t>
      </w:r>
      <w:r w:rsidR="007928E5" w:rsidRPr="007928E5">
        <w:t xml:space="preserve">will </w:t>
      </w:r>
      <w:r w:rsidR="0055646C">
        <w:t xml:space="preserve">be significant for the purpose of determining a pattern, regardless what amount is charged for the food </w:t>
      </w:r>
      <w:r w:rsidR="00C35EB7">
        <w:t>items</w:t>
      </w:r>
      <w:r w:rsidR="0055646C">
        <w:t xml:space="preserve"> not received.</w:t>
      </w:r>
    </w:p>
    <w:p w:rsidR="0055646C" w:rsidRPr="00CB685E" w:rsidRDefault="0055646C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</w:r>
      <w:r w:rsidR="00275722">
        <w:t>One-Y</w:t>
      </w:r>
      <w:r w:rsidR="00E9190A">
        <w:t>ear</w:t>
      </w:r>
      <w:r w:rsidR="00C35EB7">
        <w:t xml:space="preserve"> Disqualification</w:t>
      </w:r>
      <w:r>
        <w:t xml:space="preserve"> </w:t>
      </w:r>
    </w:p>
    <w:p w:rsidR="007C2FA9" w:rsidRDefault="007C2FA9" w:rsidP="00C474E6">
      <w:pPr>
        <w:widowControl w:val="0"/>
        <w:autoSpaceDE w:val="0"/>
        <w:autoSpaceDN w:val="0"/>
        <w:adjustRightInd w:val="0"/>
        <w:ind w:left="1440"/>
      </w:pPr>
      <w:r>
        <w:t xml:space="preserve">The Department </w:t>
      </w:r>
      <w:r w:rsidR="007928E5" w:rsidRPr="007928E5">
        <w:t xml:space="preserve">will </w:t>
      </w:r>
      <w:r>
        <w:t xml:space="preserve">disqualify a Vendor for one year for a pattern of providing unauthorized food items in exchange for </w:t>
      </w:r>
      <w:r w:rsidR="00C97D06">
        <w:t>F</w:t>
      </w:r>
      <w:r w:rsidR="00C35EB7">
        <w:t xml:space="preserve">ood </w:t>
      </w:r>
      <w:r w:rsidR="00C97D06">
        <w:t>B</w:t>
      </w:r>
      <w:r w:rsidR="00C35EB7">
        <w:t>enefits</w:t>
      </w:r>
      <w:r>
        <w:t xml:space="preserve">, including charging for supplemental food provided in excess of those listed on the </w:t>
      </w:r>
      <w:r w:rsidR="006C191E">
        <w:t>F</w:t>
      </w:r>
      <w:r w:rsidR="00C35EB7">
        <w:t xml:space="preserve">ood </w:t>
      </w:r>
      <w:r w:rsidR="006C191E">
        <w:t>B</w:t>
      </w:r>
      <w:r w:rsidR="00C35EB7">
        <w:t>enefit</w:t>
      </w:r>
      <w:r>
        <w:t xml:space="preserve">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 xml:space="preserve">Second </w:t>
      </w:r>
      <w:r w:rsidR="00275722">
        <w:t>Sanction</w:t>
      </w:r>
      <w:r>
        <w:t xml:space="preserve"> </w:t>
      </w:r>
    </w:p>
    <w:p w:rsidR="00B13FCA" w:rsidRDefault="007C2FA9" w:rsidP="00C474E6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When a Vendor who previously has been assessed a sanction for any of the violations in subsections (b) through (d) receives another sanction for any of these violations, the Department </w:t>
      </w:r>
      <w:r w:rsidR="007928E5" w:rsidRPr="007928E5">
        <w:t xml:space="preserve">will </w:t>
      </w:r>
      <w:r>
        <w:t xml:space="preserve">double the second sanction. </w:t>
      </w:r>
    </w:p>
    <w:p w:rsidR="00DD6709" w:rsidRDefault="00DD6709" w:rsidP="00DD6709">
      <w:pPr>
        <w:widowControl w:val="0"/>
        <w:autoSpaceDE w:val="0"/>
        <w:autoSpaceDN w:val="0"/>
        <w:adjustRightInd w:val="0"/>
      </w:pPr>
    </w:p>
    <w:p w:rsidR="00DD6709" w:rsidRDefault="00DD6709" w:rsidP="00DD6709">
      <w:pPr>
        <w:widowControl w:val="0"/>
        <w:autoSpaceDE w:val="0"/>
        <w:autoSpaceDN w:val="0"/>
        <w:adjustRightInd w:val="0"/>
        <w:ind w:left="720"/>
      </w:pPr>
      <w:r>
        <w:t>f)</w:t>
      </w:r>
      <w:r>
        <w:tab/>
        <w:t xml:space="preserve">Third or </w:t>
      </w:r>
      <w:r w:rsidR="00C35EB7">
        <w:t>S</w:t>
      </w:r>
      <w:r w:rsidR="00275722">
        <w:t>ubsequent</w:t>
      </w:r>
      <w:r w:rsidR="00C35EB7">
        <w:t xml:space="preserve"> S</w:t>
      </w:r>
      <w:r w:rsidR="00275722">
        <w:t>anction</w:t>
      </w:r>
    </w:p>
    <w:p w:rsidR="007C2FA9" w:rsidRDefault="00DD6709" w:rsidP="00DD6709">
      <w:pPr>
        <w:widowControl w:val="0"/>
        <w:autoSpaceDE w:val="0"/>
        <w:autoSpaceDN w:val="0"/>
        <w:adjustRightInd w:val="0"/>
        <w:ind w:left="1440"/>
      </w:pPr>
      <w:r>
        <w:t xml:space="preserve">When a Vendor who previously has been assessed two or more sanctions for violations in subsections (b) through (d) receives another sanction for </w:t>
      </w:r>
      <w:r w:rsidR="00C35EB7">
        <w:t>any of these</w:t>
      </w:r>
      <w:r>
        <w:t xml:space="preserve"> violations, the Department </w:t>
      </w:r>
      <w:r w:rsidR="007928E5" w:rsidRPr="007928E5">
        <w:t xml:space="preserve">will </w:t>
      </w:r>
      <w:r>
        <w:t xml:space="preserve">double the third sanction and all subsequent sanctions for </w:t>
      </w:r>
      <w:r w:rsidR="00C35EB7">
        <w:t>those</w:t>
      </w:r>
      <w:r>
        <w:t xml:space="preserve"> violations.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35EB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Disqualification </w:t>
      </w:r>
      <w:r w:rsidR="00C35EB7">
        <w:t>Based</w:t>
      </w:r>
      <w:r>
        <w:t xml:space="preserve"> on a </w:t>
      </w:r>
      <w:r w:rsidR="00E9190A">
        <w:t>SNAP</w:t>
      </w:r>
      <w:r w:rsidR="00C35EB7">
        <w:t xml:space="preserve"> Disqualification</w:t>
      </w:r>
      <w:r>
        <w:t xml:space="preserve"> </w:t>
      </w:r>
    </w:p>
    <w:p w:rsidR="007C2FA9" w:rsidRDefault="007C2FA9" w:rsidP="00C474E6">
      <w:pPr>
        <w:widowControl w:val="0"/>
        <w:autoSpaceDE w:val="0"/>
        <w:autoSpaceDN w:val="0"/>
        <w:adjustRightInd w:val="0"/>
        <w:ind w:left="1440"/>
      </w:pPr>
      <w:r>
        <w:t xml:space="preserve">The Department </w:t>
      </w:r>
      <w:r w:rsidR="007928E5" w:rsidRPr="007928E5">
        <w:t xml:space="preserve">will </w:t>
      </w:r>
      <w:r>
        <w:t xml:space="preserve">disqualify a Vendor who has been disqualified from </w:t>
      </w:r>
      <w:r w:rsidR="00E9190A">
        <w:t>SNAP</w:t>
      </w:r>
      <w:r>
        <w:t xml:space="preserve">.  The disqualification </w:t>
      </w:r>
      <w:r w:rsidR="007928E5" w:rsidRPr="007928E5">
        <w:t xml:space="preserve">will </w:t>
      </w:r>
      <w:r>
        <w:t xml:space="preserve">be for the same length of time as the </w:t>
      </w:r>
      <w:r w:rsidR="00E9190A">
        <w:t>SNAP</w:t>
      </w:r>
      <w:r>
        <w:t xml:space="preserve"> disqualification, may begin at a later date than the </w:t>
      </w:r>
      <w:r w:rsidR="00E9190A">
        <w:t>SNAP</w:t>
      </w:r>
      <w:r>
        <w:t xml:space="preserve"> disqualification, and </w:t>
      </w:r>
      <w:r w:rsidR="007928E5" w:rsidRPr="007928E5">
        <w:t xml:space="preserve">will </w:t>
      </w:r>
      <w:r>
        <w:t xml:space="preserve">not be subject to administrative or judicial review under the WIC program.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35EB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Voluntary </w:t>
      </w:r>
      <w:r w:rsidR="00C35EB7">
        <w:t>Withdrawal</w:t>
      </w:r>
      <w:r>
        <w:t xml:space="preserve"> or </w:t>
      </w:r>
      <w:r w:rsidR="00C35EB7">
        <w:t xml:space="preserve">Non-Renewal </w:t>
      </w:r>
      <w:r w:rsidR="007928E5">
        <w:t xml:space="preserve">of </w:t>
      </w:r>
      <w:r w:rsidR="00C35EB7">
        <w:t>Agreement</w:t>
      </w:r>
      <w:r>
        <w:t xml:space="preserve"> </w:t>
      </w:r>
    </w:p>
    <w:p w:rsidR="007C2FA9" w:rsidRDefault="007C2FA9" w:rsidP="00C474E6">
      <w:pPr>
        <w:widowControl w:val="0"/>
        <w:autoSpaceDE w:val="0"/>
        <w:autoSpaceDN w:val="0"/>
        <w:adjustRightInd w:val="0"/>
        <w:ind w:left="1440"/>
      </w:pPr>
      <w:r>
        <w:t xml:space="preserve">The Department </w:t>
      </w:r>
      <w:r w:rsidR="00C35EB7">
        <w:t>will</w:t>
      </w:r>
      <w:r>
        <w:t xml:space="preserve"> not accept voluntary withdrawal of the Vendor from the </w:t>
      </w:r>
      <w:r w:rsidR="00C35EB7">
        <w:t>program</w:t>
      </w:r>
      <w:r>
        <w:t xml:space="preserve"> as an alternative to disqualification for violations </w:t>
      </w:r>
      <w:r w:rsidR="00C35EB7">
        <w:t>listed in</w:t>
      </w:r>
      <w:r>
        <w:t xml:space="preserve"> this Section, but </w:t>
      </w:r>
      <w:r w:rsidR="007928E5" w:rsidRPr="007928E5">
        <w:t xml:space="preserve">will </w:t>
      </w:r>
      <w:r>
        <w:t xml:space="preserve">enter the disqualification on the record. In addition, the Department </w:t>
      </w:r>
      <w:r w:rsidR="00C35EB7">
        <w:t>will</w:t>
      </w:r>
      <w:r>
        <w:t xml:space="preserve"> not use non-renewal of the Vendor </w:t>
      </w:r>
      <w:r w:rsidR="007928E5">
        <w:t xml:space="preserve">Agreement </w:t>
      </w:r>
      <w:r>
        <w:t xml:space="preserve">as an alternative to disqualification.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firstLine="720"/>
      </w:pPr>
      <w:r>
        <w:t>i)</w:t>
      </w:r>
      <w:r>
        <w:tab/>
        <w:t xml:space="preserve">Participant Access </w:t>
      </w:r>
      <w:r w:rsidR="00C35EB7">
        <w:t>Determinations</w:t>
      </w:r>
      <w:r>
        <w:t xml:space="preserve">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Prior to disqualifying a Vendor for a violation of subsections (b) through (d) or (g), the Department </w:t>
      </w:r>
      <w:r w:rsidR="00C35EB7">
        <w:t>will</w:t>
      </w:r>
      <w:r>
        <w:t xml:space="preserve"> determine if disqualification of the Vendor would result in inadequate Participant </w:t>
      </w:r>
      <w:r w:rsidR="008B51E6">
        <w:t>access</w:t>
      </w:r>
      <w:r w:rsidR="008F5101">
        <w:t xml:space="preserve"> as defined in Section 672.200(b)</w:t>
      </w:r>
      <w:r>
        <w:t xml:space="preserve">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making Participant </w:t>
      </w:r>
      <w:r w:rsidR="008B51E6">
        <w:t>access</w:t>
      </w:r>
      <w:r>
        <w:t xml:space="preserve"> determinations, the Department </w:t>
      </w:r>
      <w:r w:rsidR="00C35EB7">
        <w:t>will</w:t>
      </w:r>
      <w:r>
        <w:t xml:space="preserve"> consider, at a minimum, the availability of other authorized Vendors within the same area as the </w:t>
      </w:r>
      <w:r w:rsidR="00C35EB7">
        <w:t>violating</w:t>
      </w:r>
      <w:r>
        <w:t xml:space="preserve"> Vendor and any geographical barriers to using </w:t>
      </w:r>
      <w:r w:rsidR="00C35EB7">
        <w:t>those</w:t>
      </w:r>
      <w:r>
        <w:t xml:space="preserve"> Vendors.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firstLine="720"/>
      </w:pPr>
      <w:r>
        <w:t>j)</w:t>
      </w:r>
      <w:r>
        <w:tab/>
        <w:t xml:space="preserve">Civil </w:t>
      </w:r>
      <w:r w:rsidR="00C35EB7">
        <w:t>Money Penalty</w:t>
      </w:r>
      <w:r w:rsidR="007928E5">
        <w:t xml:space="preserve"> (CMP)</w:t>
      </w:r>
      <w:r>
        <w:t xml:space="preserve">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may impose a </w:t>
      </w:r>
      <w:r w:rsidR="007928E5">
        <w:t xml:space="preserve">CMP </w:t>
      </w:r>
      <w:r>
        <w:t xml:space="preserve">in lieu of disqualification for violations in </w:t>
      </w:r>
      <w:r w:rsidR="00955BD2">
        <w:t xml:space="preserve">subsections </w:t>
      </w:r>
      <w:r>
        <w:t xml:space="preserve">(b) through (d) or (g) if the Department, in its sole discretion and </w:t>
      </w:r>
      <w:r w:rsidR="007928E5">
        <w:t xml:space="preserve">based on </w:t>
      </w:r>
      <w:r>
        <w:t>documentation</w:t>
      </w:r>
      <w:r w:rsidR="007928E5">
        <w:t>,</w:t>
      </w:r>
      <w:r>
        <w:t xml:space="preserve"> determines that disqualification of the Vendor would result in inadequate Participant </w:t>
      </w:r>
      <w:r w:rsidR="008B51E6">
        <w:t>access</w:t>
      </w:r>
      <w:r w:rsidR="008F5101" w:rsidRPr="008F5101">
        <w:t xml:space="preserve"> </w:t>
      </w:r>
      <w:r w:rsidR="008F5101">
        <w:t>as defined in Section 672.200(b)</w:t>
      </w:r>
      <w:r>
        <w:t xml:space="preserve">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 </w:t>
      </w:r>
      <w:r w:rsidR="007928E5">
        <w:t>CMP</w:t>
      </w:r>
      <w:r>
        <w:t xml:space="preserve"> is imposed in lieu of disqualification</w:t>
      </w:r>
      <w:r w:rsidR="00C35EB7">
        <w:t>,</w:t>
      </w:r>
      <w:r>
        <w:t xml:space="preserve"> it </w:t>
      </w:r>
      <w:r w:rsidR="00C35EB7">
        <w:t>will</w:t>
      </w:r>
      <w:r>
        <w:t xml:space="preserve"> be calculated for each violation subject to sanction under this Section, using the formula set forth in 7 CFR 246.12(</w:t>
      </w:r>
      <w:r w:rsidR="00817360">
        <w:t>l</w:t>
      </w:r>
      <w:r>
        <w:t xml:space="preserve">)(l)(x).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a Vendor does not pay, or only partially pays, the </w:t>
      </w:r>
      <w:r w:rsidR="007928E5">
        <w:t>CMP</w:t>
      </w:r>
      <w:r>
        <w:t xml:space="preserve">, the Department </w:t>
      </w:r>
      <w:r w:rsidR="00C35EB7">
        <w:t>will</w:t>
      </w:r>
      <w:r>
        <w:t xml:space="preserve"> disqualify the Vendor for the length of the disqualification corresponding to the violation for which the </w:t>
      </w:r>
      <w:r w:rsidR="007928E5">
        <w:t>CMP</w:t>
      </w:r>
      <w:r>
        <w:t xml:space="preserve"> was assessed (for a period corresponding to the most serious violation in cases </w:t>
      </w:r>
      <w:r w:rsidR="00D91580">
        <w:t>in which</w:t>
      </w:r>
      <w:r>
        <w:t xml:space="preserve"> the federally mandated sanction includes the imposition of multiple </w:t>
      </w:r>
      <w:r w:rsidR="007928E5">
        <w:t xml:space="preserve">CMPs </w:t>
      </w:r>
      <w:r>
        <w:t xml:space="preserve">as a result of a single investigation).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7928E5">
        <w:t xml:space="preserve">CMPs </w:t>
      </w:r>
      <w:r>
        <w:t>may be doubled for second sanctions under this Section up to the limits set forth in 7 CFR 246.12(</w:t>
      </w:r>
      <w:r w:rsidR="00817360">
        <w:t>l</w:t>
      </w:r>
      <w:r>
        <w:t xml:space="preserve">)(l)(x).  </w:t>
      </w:r>
      <w:r w:rsidR="007928E5">
        <w:t>CMPs</w:t>
      </w:r>
      <w:r>
        <w:t xml:space="preserve"> </w:t>
      </w:r>
      <w:r w:rsidR="00D91580">
        <w:t>will</w:t>
      </w:r>
      <w:r>
        <w:t xml:space="preserve"> not be imposed in lieu of disqualification for third or subsequent violations under this Section.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C474E6">
      <w:pPr>
        <w:widowControl w:val="0"/>
        <w:autoSpaceDE w:val="0"/>
        <w:autoSpaceDN w:val="0"/>
        <w:adjustRightInd w:val="0"/>
        <w:ind w:firstLine="720"/>
      </w:pPr>
      <w:r>
        <w:t>k)</w:t>
      </w:r>
      <w:r>
        <w:tab/>
        <w:t xml:space="preserve">Notification to Federal Food and Nutrition Service </w:t>
      </w:r>
    </w:p>
    <w:p w:rsidR="007C2FA9" w:rsidRDefault="007C2FA9" w:rsidP="00C474E6">
      <w:pPr>
        <w:widowControl w:val="0"/>
        <w:autoSpaceDE w:val="0"/>
        <w:autoSpaceDN w:val="0"/>
        <w:adjustRightInd w:val="0"/>
        <w:ind w:left="1440"/>
      </w:pPr>
      <w:r>
        <w:t xml:space="preserve">The Department </w:t>
      </w:r>
      <w:r w:rsidR="00D91580">
        <w:t>will</w:t>
      </w:r>
      <w:r>
        <w:t xml:space="preserve"> provide the appropriate FNS office with a copy of the notice of administrative action, and information on Vendors it has disqualified or on whom it has imposed a </w:t>
      </w:r>
      <w:r w:rsidR="007928E5">
        <w:t xml:space="preserve">CMP </w:t>
      </w:r>
      <w:r>
        <w:t>in lieu of disqualification for any of the violations of this Section</w:t>
      </w:r>
      <w:r w:rsidR="00E27A06">
        <w:t>.</w:t>
      </w:r>
      <w:r>
        <w:t xml:space="preserve"> </w:t>
      </w:r>
      <w:r w:rsidR="00E27A06">
        <w:t xml:space="preserve"> The notice will be provided </w:t>
      </w:r>
      <w:r>
        <w:t>within 15 days after the Vendor's opportunity to file for a WIC administrative review has expired or all the Vendor's WIC administrative reviews have been completed</w:t>
      </w:r>
      <w:r w:rsidR="008B51E6">
        <w:t xml:space="preserve"> in accordance with Sections 672.515 and 672.600</w:t>
      </w:r>
      <w:r>
        <w:t xml:space="preserve">.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7C2FA9" w:rsidRDefault="007C2FA9" w:rsidP="00D91580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Multiple </w:t>
      </w:r>
      <w:r w:rsidR="00D91580">
        <w:t>Violations During</w:t>
      </w:r>
      <w:r>
        <w:t xml:space="preserve"> a </w:t>
      </w:r>
      <w:r w:rsidR="00D91580">
        <w:t>Single Investigation</w:t>
      </w:r>
      <w:r>
        <w:t xml:space="preserve">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</w:p>
    <w:p w:rsidR="00C474E6" w:rsidRDefault="00FE3394" w:rsidP="00C474E6">
      <w:pPr>
        <w:widowControl w:val="0"/>
        <w:autoSpaceDE w:val="0"/>
        <w:autoSpaceDN w:val="0"/>
        <w:adjustRightInd w:val="0"/>
        <w:ind w:left="2160" w:hanging="720"/>
      </w:pPr>
      <w:r w:rsidRPr="002C5EA7">
        <w:t>1)</w:t>
      </w:r>
      <w:r w:rsidR="007C2FA9">
        <w:tab/>
        <w:t>When</w:t>
      </w:r>
      <w:r w:rsidR="00D91580">
        <w:t>,</w:t>
      </w:r>
      <w:r w:rsidR="007C2FA9">
        <w:t xml:space="preserve"> during the course of a single investigation</w:t>
      </w:r>
      <w:r w:rsidR="00D91580">
        <w:t>,</w:t>
      </w:r>
      <w:r w:rsidR="007C2FA9">
        <w:t xml:space="preserve"> the Department determines a Vendor has committed multiple violations (which may include violations subject to State agency sanctions), the Department </w:t>
      </w:r>
      <w:r w:rsidR="00D91580">
        <w:t>will</w:t>
      </w:r>
      <w:r w:rsidR="007C2FA9">
        <w:t xml:space="preserve"> disqualify the Vendor for the period corresponding to the most serious federally mandated violation.  However, the Department </w:t>
      </w:r>
      <w:r w:rsidR="00D91580">
        <w:t>will</w:t>
      </w:r>
      <w:r w:rsidR="007C2FA9">
        <w:t xml:space="preserve"> include all violations in the notice of administrative action</w:t>
      </w:r>
      <w:r w:rsidR="008B51E6">
        <w:t xml:space="preserve"> as outlined in Section 672.510</w:t>
      </w:r>
      <w:r w:rsidR="007C2FA9">
        <w:t xml:space="preserve">.  </w:t>
      </w:r>
    </w:p>
    <w:p w:rsidR="00B13FCA" w:rsidRDefault="00B13FCA" w:rsidP="00EF32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685E" w:rsidRPr="00CB685E" w:rsidRDefault="00CB685E" w:rsidP="00C474E6">
      <w:pPr>
        <w:widowControl w:val="0"/>
        <w:autoSpaceDE w:val="0"/>
        <w:autoSpaceDN w:val="0"/>
        <w:adjustRightInd w:val="0"/>
        <w:ind w:left="2160" w:hanging="720"/>
      </w:pPr>
      <w:r w:rsidRPr="00CB685E">
        <w:t>2)</w:t>
      </w:r>
      <w:r w:rsidR="00351ACF">
        <w:tab/>
      </w:r>
      <w:r w:rsidRPr="00CB685E">
        <w:t xml:space="preserve">An investigation </w:t>
      </w:r>
      <w:r w:rsidR="00E27A06">
        <w:t xml:space="preserve">will </w:t>
      </w:r>
      <w:r w:rsidRPr="00CB685E">
        <w:t xml:space="preserve">be considered complete when, in the judgement of the Department, sufficient evidence exists to determine whether the Vendor is complying with program requirements. </w:t>
      </w:r>
    </w:p>
    <w:p w:rsidR="00CB685E" w:rsidRDefault="00CB685E" w:rsidP="00C474E6">
      <w:pPr>
        <w:widowControl w:val="0"/>
        <w:autoSpaceDE w:val="0"/>
        <w:autoSpaceDN w:val="0"/>
        <w:adjustRightInd w:val="0"/>
      </w:pPr>
    </w:p>
    <w:p w:rsidR="0055646C" w:rsidRPr="00D55B37" w:rsidRDefault="00E9190A">
      <w:pPr>
        <w:pStyle w:val="JCARSourceNote"/>
        <w:ind w:left="720"/>
      </w:pPr>
      <w:r>
        <w:t>(Source:  Amended at 4</w:t>
      </w:r>
      <w:r w:rsidR="004209D4">
        <w:t>6</w:t>
      </w:r>
      <w:r>
        <w:t xml:space="preserve"> Ill. Reg. </w:t>
      </w:r>
      <w:r w:rsidR="007755CC">
        <w:t>2073</w:t>
      </w:r>
      <w:r>
        <w:t xml:space="preserve">, effective </w:t>
      </w:r>
      <w:r w:rsidR="007755CC">
        <w:t>January 21, 2022</w:t>
      </w:r>
      <w:r>
        <w:t>)</w:t>
      </w:r>
    </w:p>
    <w:sectPr w:rsidR="0055646C" w:rsidRPr="00D55B37" w:rsidSect="00C474E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FA9"/>
    <w:rsid w:val="0001408F"/>
    <w:rsid w:val="000640C4"/>
    <w:rsid w:val="000766EF"/>
    <w:rsid w:val="002015FB"/>
    <w:rsid w:val="00275722"/>
    <w:rsid w:val="002C5EA7"/>
    <w:rsid w:val="00302713"/>
    <w:rsid w:val="00351ACF"/>
    <w:rsid w:val="003D79FD"/>
    <w:rsid w:val="004209D4"/>
    <w:rsid w:val="004A674A"/>
    <w:rsid w:val="005240A5"/>
    <w:rsid w:val="0055646C"/>
    <w:rsid w:val="00600CC0"/>
    <w:rsid w:val="00675196"/>
    <w:rsid w:val="0067574A"/>
    <w:rsid w:val="006C191E"/>
    <w:rsid w:val="006E7347"/>
    <w:rsid w:val="007755CC"/>
    <w:rsid w:val="007928E5"/>
    <w:rsid w:val="007C2FA9"/>
    <w:rsid w:val="00811164"/>
    <w:rsid w:val="00817360"/>
    <w:rsid w:val="00832295"/>
    <w:rsid w:val="008B51E6"/>
    <w:rsid w:val="008F5101"/>
    <w:rsid w:val="00955BD2"/>
    <w:rsid w:val="00A05DCA"/>
    <w:rsid w:val="00A358E1"/>
    <w:rsid w:val="00B13FCA"/>
    <w:rsid w:val="00C35EB7"/>
    <w:rsid w:val="00C474E6"/>
    <w:rsid w:val="00C97256"/>
    <w:rsid w:val="00C97D06"/>
    <w:rsid w:val="00CB685E"/>
    <w:rsid w:val="00D91580"/>
    <w:rsid w:val="00D92D2B"/>
    <w:rsid w:val="00DD6709"/>
    <w:rsid w:val="00E27A06"/>
    <w:rsid w:val="00E9190A"/>
    <w:rsid w:val="00EF3272"/>
    <w:rsid w:val="00F51A31"/>
    <w:rsid w:val="00F63DAC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891791-82CD-424A-8EE5-767214A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LambTR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2022-02-04T15:02:00Z</dcterms:modified>
</cp:coreProperties>
</file>