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5F" w:rsidRDefault="00F3075F" w:rsidP="00F307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075F" w:rsidRDefault="00F3075F" w:rsidP="00F3075F">
      <w:pPr>
        <w:widowControl w:val="0"/>
        <w:autoSpaceDE w:val="0"/>
        <w:autoSpaceDN w:val="0"/>
        <w:adjustRightInd w:val="0"/>
      </w:pPr>
      <w:r>
        <w:t>SOURCE:  Adopted and codified at 6 Ill. Reg. 10998, effective August 30, 1982; amended at 23 Ill. Reg. 4270, effective March 26, 1999; amended at 24 Ill. Reg. 4</w:t>
      </w:r>
      <w:r w:rsidR="00D3764F">
        <w:t xml:space="preserve">956, effective March 20, 2000. </w:t>
      </w:r>
    </w:p>
    <w:sectPr w:rsidR="00F3075F" w:rsidSect="00F307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75F"/>
    <w:rsid w:val="00255AC8"/>
    <w:rsid w:val="002F1D07"/>
    <w:rsid w:val="004A7318"/>
    <w:rsid w:val="005C3366"/>
    <w:rsid w:val="00D3764F"/>
    <w:rsid w:val="00F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