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369A" w14:textId="77777777" w:rsidR="005878B6" w:rsidRDefault="005878B6" w:rsidP="005878B6">
      <w:pPr>
        <w:spacing w:line="240" w:lineRule="auto"/>
        <w:jc w:val="left"/>
        <w:rPr>
          <w:b/>
        </w:rPr>
      </w:pPr>
    </w:p>
    <w:p w14:paraId="52986B0A" w14:textId="593CC0D7" w:rsidR="005878B6" w:rsidRPr="002A7961" w:rsidRDefault="005878B6" w:rsidP="005878B6">
      <w:pPr>
        <w:spacing w:line="240" w:lineRule="auto"/>
        <w:jc w:val="left"/>
      </w:pPr>
      <w:r w:rsidRPr="002A7961">
        <w:rPr>
          <w:b/>
        </w:rPr>
        <w:t xml:space="preserve">Section </w:t>
      </w:r>
      <w:proofErr w:type="gramStart"/>
      <w:r w:rsidRPr="002A7961">
        <w:rPr>
          <w:b/>
        </w:rPr>
        <w:t>690.698</w:t>
      </w:r>
      <w:r>
        <w:rPr>
          <w:b/>
        </w:rPr>
        <w:t xml:space="preserve">  </w:t>
      </w:r>
      <w:r w:rsidR="0005018C">
        <w:rPr>
          <w:b/>
        </w:rPr>
        <w:t>Tick</w:t>
      </w:r>
      <w:r w:rsidR="0069196E">
        <w:rPr>
          <w:b/>
        </w:rPr>
        <w:t>b</w:t>
      </w:r>
      <w:r w:rsidR="0005018C">
        <w:rPr>
          <w:b/>
        </w:rPr>
        <w:t>orne</w:t>
      </w:r>
      <w:proofErr w:type="gramEnd"/>
      <w:r w:rsidR="0005018C">
        <w:rPr>
          <w:b/>
        </w:rPr>
        <w:t xml:space="preserve"> </w:t>
      </w:r>
      <w:r w:rsidR="00C148EC" w:rsidRPr="00C148EC">
        <w:rPr>
          <w:b/>
        </w:rPr>
        <w:t>Infections</w:t>
      </w:r>
      <w:r w:rsidR="0005018C">
        <w:rPr>
          <w:b/>
        </w:rPr>
        <w:t xml:space="preserve"> (Includes </w:t>
      </w:r>
      <w:r w:rsidR="00C148EC" w:rsidRPr="00C148EC">
        <w:rPr>
          <w:b/>
          <w:bCs/>
        </w:rPr>
        <w:t>African Tick Bite Fever, Anaplasmosis,</w:t>
      </w:r>
      <w:r w:rsidR="004F3739">
        <w:rPr>
          <w:b/>
          <w:bCs/>
        </w:rPr>
        <w:t xml:space="preserve"> </w:t>
      </w:r>
      <w:r w:rsidR="0005018C">
        <w:rPr>
          <w:b/>
        </w:rPr>
        <w:t>Babesiosis</w:t>
      </w:r>
      <w:r w:rsidR="00A057A3">
        <w:rPr>
          <w:b/>
        </w:rPr>
        <w:t xml:space="preserve">, </w:t>
      </w:r>
      <w:r w:rsidR="00C148EC" w:rsidRPr="00C148EC">
        <w:rPr>
          <w:b/>
        </w:rPr>
        <w:t>Bourbon Virus,</w:t>
      </w:r>
      <w:r w:rsidR="00C148EC">
        <w:rPr>
          <w:b/>
        </w:rPr>
        <w:t xml:space="preserve"> </w:t>
      </w:r>
      <w:r w:rsidRPr="002A7961">
        <w:rPr>
          <w:b/>
        </w:rPr>
        <w:t xml:space="preserve">Ehrlichiosis, </w:t>
      </w:r>
      <w:r w:rsidR="00C148EC" w:rsidRPr="00C148EC">
        <w:rPr>
          <w:b/>
          <w:bCs/>
        </w:rPr>
        <w:t>Heartland Virus</w:t>
      </w:r>
      <w:r w:rsidRPr="002A7961">
        <w:rPr>
          <w:b/>
        </w:rPr>
        <w:t xml:space="preserve">, Lyme </w:t>
      </w:r>
      <w:r w:rsidR="0005018C">
        <w:rPr>
          <w:b/>
        </w:rPr>
        <w:t>Disease</w:t>
      </w:r>
      <w:r w:rsidRPr="002A7961">
        <w:rPr>
          <w:b/>
        </w:rPr>
        <w:t xml:space="preserve"> and </w:t>
      </w:r>
      <w:r w:rsidR="0005018C">
        <w:rPr>
          <w:b/>
        </w:rPr>
        <w:t>Spotted Fever Rickettsiosis)</w:t>
      </w:r>
      <w:r w:rsidRPr="002A7961">
        <w:rPr>
          <w:b/>
        </w:rPr>
        <w:t xml:space="preserve"> (Reportable by mail, telephone, facsimile</w:t>
      </w:r>
      <w:r w:rsidR="00C148EC">
        <w:rPr>
          <w:b/>
        </w:rPr>
        <w:t>,</w:t>
      </w:r>
      <w:r w:rsidRPr="002A7961">
        <w:rPr>
          <w:b/>
        </w:rPr>
        <w:t xml:space="preserve"> or electronically, within </w:t>
      </w:r>
      <w:r w:rsidR="00C148EC">
        <w:rPr>
          <w:b/>
        </w:rPr>
        <w:t>three</w:t>
      </w:r>
      <w:r w:rsidRPr="002A7961">
        <w:rPr>
          <w:b/>
        </w:rPr>
        <w:t xml:space="preserve"> days)</w:t>
      </w:r>
    </w:p>
    <w:p w14:paraId="3C4F4835" w14:textId="77777777" w:rsidR="005878B6" w:rsidRPr="002A7961" w:rsidRDefault="005878B6" w:rsidP="005878B6">
      <w:pPr>
        <w:spacing w:line="240" w:lineRule="auto"/>
        <w:jc w:val="left"/>
      </w:pPr>
    </w:p>
    <w:p w14:paraId="4891F078" w14:textId="77777777" w:rsidR="00A057A3" w:rsidRDefault="005878B6" w:rsidP="005878B6">
      <w:pPr>
        <w:spacing w:line="240" w:lineRule="auto"/>
        <w:ind w:left="1440" w:hanging="720"/>
        <w:jc w:val="left"/>
      </w:pPr>
      <w:r w:rsidRPr="002A7961">
        <w:t>a)</w:t>
      </w:r>
      <w:r>
        <w:tab/>
      </w:r>
      <w:r w:rsidRPr="002A7961">
        <w:t>Control of Case</w:t>
      </w:r>
    </w:p>
    <w:p w14:paraId="21C315EB" w14:textId="6C697442" w:rsidR="005878B6" w:rsidRPr="002A7961" w:rsidRDefault="00C148EC" w:rsidP="00A057A3">
      <w:pPr>
        <w:spacing w:line="240" w:lineRule="auto"/>
        <w:ind w:left="1440"/>
        <w:jc w:val="left"/>
      </w:pPr>
      <w:r w:rsidRPr="000802A0">
        <w:t>No specific restrictions</w:t>
      </w:r>
      <w:r w:rsidR="005878B6" w:rsidRPr="002A7961">
        <w:t>.</w:t>
      </w:r>
      <w:r w:rsidR="005878B6" w:rsidRPr="002A7961">
        <w:rPr>
          <w:strike/>
        </w:rPr>
        <w:t xml:space="preserve"> </w:t>
      </w:r>
    </w:p>
    <w:p w14:paraId="542CA88B" w14:textId="77777777" w:rsidR="005878B6" w:rsidRPr="002A7961" w:rsidRDefault="005878B6" w:rsidP="005878B6">
      <w:pPr>
        <w:spacing w:line="240" w:lineRule="auto"/>
        <w:jc w:val="left"/>
      </w:pPr>
    </w:p>
    <w:p w14:paraId="504AC3F9" w14:textId="77777777" w:rsidR="00A057A3" w:rsidRDefault="005878B6" w:rsidP="005878B6">
      <w:pPr>
        <w:spacing w:line="240" w:lineRule="auto"/>
        <w:ind w:left="1440" w:hanging="720"/>
        <w:jc w:val="left"/>
      </w:pPr>
      <w:r w:rsidRPr="002A7961">
        <w:t>b)</w:t>
      </w:r>
      <w:r>
        <w:tab/>
      </w:r>
      <w:r w:rsidRPr="002A7961">
        <w:t>Control of Contacts</w:t>
      </w:r>
    </w:p>
    <w:p w14:paraId="5F4CFB60" w14:textId="4A9FB120" w:rsidR="005878B6" w:rsidRPr="002A7961" w:rsidRDefault="005878B6" w:rsidP="00A057A3">
      <w:pPr>
        <w:spacing w:line="240" w:lineRule="auto"/>
        <w:ind w:left="1440"/>
        <w:jc w:val="left"/>
      </w:pPr>
      <w:r w:rsidRPr="002A7961">
        <w:t xml:space="preserve">No </w:t>
      </w:r>
      <w:r w:rsidR="005C2718">
        <w:t xml:space="preserve">specific </w:t>
      </w:r>
      <w:r w:rsidRPr="002A7961">
        <w:t>restrictions.</w:t>
      </w:r>
    </w:p>
    <w:p w14:paraId="27547C80" w14:textId="77777777" w:rsidR="005878B6" w:rsidRPr="002A7961" w:rsidRDefault="005878B6" w:rsidP="005878B6">
      <w:pPr>
        <w:spacing w:line="240" w:lineRule="auto"/>
        <w:jc w:val="left"/>
      </w:pPr>
    </w:p>
    <w:p w14:paraId="6F39002E" w14:textId="02AACD37" w:rsidR="00A057A3" w:rsidRDefault="005878B6" w:rsidP="005878B6">
      <w:pPr>
        <w:autoSpaceDE w:val="0"/>
        <w:autoSpaceDN w:val="0"/>
        <w:spacing w:line="240" w:lineRule="auto"/>
        <w:ind w:left="1440" w:hanging="720"/>
        <w:jc w:val="left"/>
      </w:pPr>
      <w:r w:rsidRPr="002A7961">
        <w:t>c)</w:t>
      </w:r>
      <w:r>
        <w:tab/>
      </w:r>
      <w:r w:rsidRPr="002A7961">
        <w:t>Laboratory Reporting</w:t>
      </w:r>
    </w:p>
    <w:p w14:paraId="6D8F5759" w14:textId="77777777" w:rsidR="00C148EC" w:rsidRDefault="00C148EC" w:rsidP="006013C8">
      <w:pPr>
        <w:autoSpaceDE w:val="0"/>
        <w:autoSpaceDN w:val="0"/>
        <w:spacing w:line="240" w:lineRule="auto"/>
        <w:jc w:val="left"/>
      </w:pPr>
    </w:p>
    <w:p w14:paraId="78C8E210" w14:textId="5C44DBC6" w:rsidR="005878B6" w:rsidRDefault="00C148EC" w:rsidP="00C148EC">
      <w:pPr>
        <w:autoSpaceDE w:val="0"/>
        <w:autoSpaceDN w:val="0"/>
        <w:spacing w:line="240" w:lineRule="auto"/>
        <w:ind w:left="2160" w:hanging="720"/>
        <w:jc w:val="left"/>
        <w:rPr>
          <w:rFonts w:cs="Tahoma"/>
        </w:rPr>
      </w:pPr>
      <w:r>
        <w:t>1)</w:t>
      </w:r>
      <w:r>
        <w:tab/>
      </w:r>
      <w:r w:rsidR="005878B6" w:rsidRPr="002A7961">
        <w:t>Laboratories shall report to the local health authority patients who have a positive result on any laboratory test indicative of and</w:t>
      </w:r>
      <w:r w:rsidR="005878B6" w:rsidRPr="005878B6">
        <w:t xml:space="preserve"> </w:t>
      </w:r>
      <w:r w:rsidR="005878B6" w:rsidRPr="002A7961">
        <w:t xml:space="preserve">specific for detecting </w:t>
      </w:r>
      <w:r w:rsidRPr="00C148EC">
        <w:rPr>
          <w:rFonts w:cs="Tahoma"/>
        </w:rPr>
        <w:t>any tickborne infection</w:t>
      </w:r>
      <w:r w:rsidR="005878B6" w:rsidRPr="002A7961">
        <w:rPr>
          <w:rFonts w:cs="Tahoma"/>
        </w:rPr>
        <w:t>.</w:t>
      </w:r>
    </w:p>
    <w:p w14:paraId="6E9C2AD9" w14:textId="7824BBCB" w:rsidR="00C148EC" w:rsidRDefault="00C148EC" w:rsidP="006013C8">
      <w:pPr>
        <w:autoSpaceDE w:val="0"/>
        <w:autoSpaceDN w:val="0"/>
        <w:spacing w:line="240" w:lineRule="auto"/>
        <w:jc w:val="left"/>
        <w:rPr>
          <w:rFonts w:cs="Tahoma"/>
        </w:rPr>
      </w:pPr>
    </w:p>
    <w:p w14:paraId="3445496B" w14:textId="731C5DA7" w:rsidR="00C148EC" w:rsidRPr="002A7961" w:rsidRDefault="00C148EC" w:rsidP="00C148EC">
      <w:pPr>
        <w:autoSpaceDE w:val="0"/>
        <w:autoSpaceDN w:val="0"/>
        <w:spacing w:line="240" w:lineRule="auto"/>
        <w:ind w:left="2160" w:hanging="720"/>
        <w:jc w:val="left"/>
        <w:rPr>
          <w:rFonts w:cs="Tahoma"/>
        </w:rPr>
      </w:pPr>
      <w:r>
        <w:rPr>
          <w:rFonts w:cs="Tahoma"/>
        </w:rPr>
        <w:t>2)</w:t>
      </w:r>
      <w:r>
        <w:rPr>
          <w:rFonts w:cs="Tahoma"/>
        </w:rPr>
        <w:tab/>
      </w:r>
      <w:r w:rsidRPr="00C148EC">
        <w:rPr>
          <w:rFonts w:cs="Tahoma"/>
        </w:rPr>
        <w:t>Laboratories shall hold tickborne specimens with serologic evidence of elevated IgG or IgM antibody reactive with the suspected agent for a minimum of 30 days, and upon request by the Department or local health authority forward to the Department</w:t>
      </w:r>
      <w:r w:rsidR="0003764C">
        <w:rPr>
          <w:rFonts w:cs="Tahoma"/>
        </w:rPr>
        <w:t>'</w:t>
      </w:r>
      <w:r w:rsidRPr="00C148EC">
        <w:rPr>
          <w:rFonts w:cs="Tahoma"/>
        </w:rPr>
        <w:t xml:space="preserve">s laboratory clinical materials from patients who are suspected </w:t>
      </w:r>
      <w:r w:rsidR="00021B41">
        <w:rPr>
          <w:rFonts w:cs="Tahoma"/>
        </w:rPr>
        <w:t xml:space="preserve">by the Department or the local health authority </w:t>
      </w:r>
      <w:r w:rsidRPr="00C148EC">
        <w:rPr>
          <w:rFonts w:cs="Tahoma"/>
        </w:rPr>
        <w:t>of having an acute tickborne infection.</w:t>
      </w:r>
    </w:p>
    <w:p w14:paraId="4D957BAB" w14:textId="77777777" w:rsidR="001C71C2" w:rsidRDefault="001C71C2" w:rsidP="00C148EC">
      <w:pPr>
        <w:spacing w:line="240" w:lineRule="auto"/>
      </w:pPr>
    </w:p>
    <w:p w14:paraId="7AB632B3" w14:textId="1F42740F" w:rsidR="0005018C" w:rsidRPr="00D55B37" w:rsidRDefault="00C148EC" w:rsidP="00C148EC">
      <w:pPr>
        <w:pStyle w:val="JCARSourceNote"/>
        <w:spacing w:line="240" w:lineRule="auto"/>
        <w:ind w:left="720"/>
      </w:pPr>
      <w:r w:rsidRPr="00FD1AD2">
        <w:t>(Source:  Amended at 4</w:t>
      </w:r>
      <w:r w:rsidR="005C2718">
        <w:t>8</w:t>
      </w:r>
      <w:r w:rsidRPr="00FD1AD2">
        <w:t xml:space="preserve"> Ill. Reg. </w:t>
      </w:r>
      <w:r w:rsidR="000E41DB">
        <w:t>4098</w:t>
      </w:r>
      <w:r w:rsidRPr="00FD1AD2">
        <w:t xml:space="preserve">, effective </w:t>
      </w:r>
      <w:r w:rsidR="000E41DB">
        <w:t>February 27, 2024</w:t>
      </w:r>
      <w:r w:rsidRPr="00FD1AD2">
        <w:t>)</w:t>
      </w:r>
    </w:p>
    <w:sectPr w:rsidR="0005018C" w:rsidRPr="00D55B37" w:rsidSect="00E55AB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8296" w14:textId="77777777" w:rsidR="00FA21B0" w:rsidRDefault="00FA21B0">
      <w:r>
        <w:separator/>
      </w:r>
    </w:p>
  </w:endnote>
  <w:endnote w:type="continuationSeparator" w:id="0">
    <w:p w14:paraId="23EDBBE3" w14:textId="77777777" w:rsidR="00FA21B0" w:rsidRDefault="00FA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E63A" w14:textId="77777777" w:rsidR="00FA21B0" w:rsidRDefault="00FA21B0">
      <w:r>
        <w:separator/>
      </w:r>
    </w:p>
  </w:footnote>
  <w:footnote w:type="continuationSeparator" w:id="0">
    <w:p w14:paraId="033EF2C5" w14:textId="77777777" w:rsidR="00FA21B0" w:rsidRDefault="00FA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F7D"/>
    <w:rsid w:val="00001F1D"/>
    <w:rsid w:val="00003CEF"/>
    <w:rsid w:val="00011A7D"/>
    <w:rsid w:val="000122C7"/>
    <w:rsid w:val="000158C8"/>
    <w:rsid w:val="00021B41"/>
    <w:rsid w:val="00023902"/>
    <w:rsid w:val="00023DDC"/>
    <w:rsid w:val="00024942"/>
    <w:rsid w:val="00026C9D"/>
    <w:rsid w:val="00026F05"/>
    <w:rsid w:val="00030823"/>
    <w:rsid w:val="00031AC4"/>
    <w:rsid w:val="0003764C"/>
    <w:rsid w:val="0004011F"/>
    <w:rsid w:val="00042314"/>
    <w:rsid w:val="0005018C"/>
    <w:rsid w:val="00050531"/>
    <w:rsid w:val="00052C70"/>
    <w:rsid w:val="00063990"/>
    <w:rsid w:val="00066013"/>
    <w:rsid w:val="000676A6"/>
    <w:rsid w:val="00074368"/>
    <w:rsid w:val="00074F7D"/>
    <w:rsid w:val="000765E0"/>
    <w:rsid w:val="000802A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41D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22E7"/>
    <w:rsid w:val="002047E2"/>
    <w:rsid w:val="00207D79"/>
    <w:rsid w:val="002133B1"/>
    <w:rsid w:val="00213BC5"/>
    <w:rsid w:val="0022052A"/>
    <w:rsid w:val="002209C0"/>
    <w:rsid w:val="00220B91"/>
    <w:rsid w:val="00220C88"/>
    <w:rsid w:val="00225354"/>
    <w:rsid w:val="0023173C"/>
    <w:rsid w:val="002324A0"/>
    <w:rsid w:val="002325F1"/>
    <w:rsid w:val="002375DD"/>
    <w:rsid w:val="00245F71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5E3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619"/>
    <w:rsid w:val="004F373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878B6"/>
    <w:rsid w:val="005901D4"/>
    <w:rsid w:val="005948A7"/>
    <w:rsid w:val="005A2494"/>
    <w:rsid w:val="005A73F7"/>
    <w:rsid w:val="005B358A"/>
    <w:rsid w:val="005C2718"/>
    <w:rsid w:val="005D35F3"/>
    <w:rsid w:val="005E03A7"/>
    <w:rsid w:val="005E3D55"/>
    <w:rsid w:val="005F2891"/>
    <w:rsid w:val="006013C8"/>
    <w:rsid w:val="006132CE"/>
    <w:rsid w:val="00620BBA"/>
    <w:rsid w:val="006247D4"/>
    <w:rsid w:val="00631875"/>
    <w:rsid w:val="00634D17"/>
    <w:rsid w:val="00641AEA"/>
    <w:rsid w:val="0064660E"/>
    <w:rsid w:val="00651FF5"/>
    <w:rsid w:val="006548A7"/>
    <w:rsid w:val="00670B89"/>
    <w:rsid w:val="00672EE7"/>
    <w:rsid w:val="00673BD7"/>
    <w:rsid w:val="00685500"/>
    <w:rsid w:val="006861B7"/>
    <w:rsid w:val="00691405"/>
    <w:rsid w:val="0069196E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7E1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D3C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25A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7A3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5A6A"/>
    <w:rsid w:val="00BD0ED2"/>
    <w:rsid w:val="00BE03CA"/>
    <w:rsid w:val="00BE40A3"/>
    <w:rsid w:val="00BF1CFC"/>
    <w:rsid w:val="00BF2353"/>
    <w:rsid w:val="00BF25C2"/>
    <w:rsid w:val="00BF3913"/>
    <w:rsid w:val="00BF5AAE"/>
    <w:rsid w:val="00BF5AE7"/>
    <w:rsid w:val="00BF78FB"/>
    <w:rsid w:val="00C05E6D"/>
    <w:rsid w:val="00C1038A"/>
    <w:rsid w:val="00C148EC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3980"/>
    <w:rsid w:val="00CC13F9"/>
    <w:rsid w:val="00CC4FF8"/>
    <w:rsid w:val="00CD3723"/>
    <w:rsid w:val="00CD5413"/>
    <w:rsid w:val="00CE4292"/>
    <w:rsid w:val="00D03A79"/>
    <w:rsid w:val="00D04023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5ABC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1B0"/>
    <w:rsid w:val="00FB1819"/>
    <w:rsid w:val="00FB6CE4"/>
    <w:rsid w:val="00FC18E5"/>
    <w:rsid w:val="00FC2BF7"/>
    <w:rsid w:val="00FC3252"/>
    <w:rsid w:val="00FC34CE"/>
    <w:rsid w:val="00FC7A26"/>
    <w:rsid w:val="00FD25DA"/>
    <w:rsid w:val="00FD38AB"/>
    <w:rsid w:val="00FE5D1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F8A1"/>
  <w15:docId w15:val="{8152837C-8D1A-403E-90E1-50CA9F8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8B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2024-03-15T15:01:00Z</dcterms:modified>
</cp:coreProperties>
</file>