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01" w:rsidRDefault="00337A01" w:rsidP="00337A01">
      <w:pPr>
        <w:widowControl w:val="0"/>
        <w:autoSpaceDE w:val="0"/>
        <w:autoSpaceDN w:val="0"/>
        <w:adjustRightInd w:val="0"/>
      </w:pPr>
      <w:bookmarkStart w:id="0" w:name="_GoBack"/>
      <w:bookmarkEnd w:id="0"/>
    </w:p>
    <w:p w:rsidR="00337A01" w:rsidRDefault="00337A01" w:rsidP="00337A01">
      <w:pPr>
        <w:widowControl w:val="0"/>
        <w:autoSpaceDE w:val="0"/>
        <w:autoSpaceDN w:val="0"/>
        <w:adjustRightInd w:val="0"/>
      </w:pPr>
      <w:r>
        <w:rPr>
          <w:b/>
          <w:bCs/>
        </w:rPr>
        <w:t>Section 785.230  Bacterial Estimate Classification</w:t>
      </w:r>
      <w:r>
        <w:t xml:space="preserve"> </w:t>
      </w:r>
    </w:p>
    <w:p w:rsidR="00337A01" w:rsidRDefault="00337A01" w:rsidP="00337A01">
      <w:pPr>
        <w:widowControl w:val="0"/>
        <w:autoSpaceDE w:val="0"/>
        <w:autoSpaceDN w:val="0"/>
        <w:adjustRightInd w:val="0"/>
      </w:pPr>
    </w:p>
    <w:p w:rsidR="00337A01" w:rsidRDefault="00337A01" w:rsidP="00337A01">
      <w:pPr>
        <w:widowControl w:val="0"/>
        <w:autoSpaceDE w:val="0"/>
        <w:autoSpaceDN w:val="0"/>
        <w:adjustRightInd w:val="0"/>
      </w:pPr>
      <w:r>
        <w:t xml:space="preserve">Milk shall be classified for bacterial estimate as follows by one of the methods listed in Table 230:   </w:t>
      </w:r>
    </w:p>
    <w:p w:rsidR="00337A01" w:rsidRDefault="00337A01" w:rsidP="00337A01">
      <w:pPr>
        <w:widowControl w:val="0"/>
        <w:autoSpaceDE w:val="0"/>
        <w:autoSpaceDN w:val="0"/>
        <w:adjustRightInd w:val="0"/>
      </w:pPr>
    </w:p>
    <w:p w:rsidR="00337A01" w:rsidRDefault="00337A01" w:rsidP="00337A01">
      <w:pPr>
        <w:widowControl w:val="0"/>
        <w:autoSpaceDE w:val="0"/>
        <w:autoSpaceDN w:val="0"/>
        <w:adjustRightInd w:val="0"/>
        <w:jc w:val="center"/>
      </w:pPr>
      <w:r>
        <w:t>TABLE 230</w:t>
      </w:r>
    </w:p>
    <w:p w:rsidR="00337A01" w:rsidRDefault="00337A01" w:rsidP="00337A01">
      <w:pPr>
        <w:widowControl w:val="0"/>
        <w:autoSpaceDE w:val="0"/>
        <w:autoSpaceDN w:val="0"/>
        <w:adjustRightInd w:val="0"/>
        <w:jc w:val="center"/>
      </w:pPr>
    </w:p>
    <w:tbl>
      <w:tblPr>
        <w:tblW w:w="0" w:type="auto"/>
        <w:tblLook w:val="0000" w:firstRow="0" w:lastRow="0" w:firstColumn="0" w:lastColumn="0" w:noHBand="0" w:noVBand="0"/>
      </w:tblPr>
      <w:tblGrid>
        <w:gridCol w:w="4788"/>
        <w:gridCol w:w="4788"/>
      </w:tblGrid>
      <w:tr w:rsidR="000D0FC6">
        <w:tblPrEx>
          <w:tblCellMar>
            <w:top w:w="0" w:type="dxa"/>
            <w:bottom w:w="0" w:type="dxa"/>
          </w:tblCellMar>
        </w:tblPrEx>
        <w:trPr>
          <w:trHeight w:val="1007"/>
        </w:trPr>
        <w:tc>
          <w:tcPr>
            <w:tcW w:w="4788" w:type="dxa"/>
            <w:tcBorders>
              <w:top w:val="single" w:sz="4" w:space="0" w:color="auto"/>
              <w:bottom w:val="single" w:sz="4" w:space="0" w:color="auto"/>
            </w:tcBorders>
            <w:vAlign w:val="center"/>
          </w:tcPr>
          <w:p w:rsidR="000D0FC6" w:rsidRPr="000D0FC6" w:rsidRDefault="000D0FC6" w:rsidP="00337A01">
            <w:pPr>
              <w:widowControl w:val="0"/>
              <w:autoSpaceDE w:val="0"/>
              <w:autoSpaceDN w:val="0"/>
              <w:adjustRightInd w:val="0"/>
            </w:pPr>
            <w:r w:rsidRPr="000D0FC6">
              <w:t>Bacter</w:t>
            </w:r>
            <w:r>
              <w:t>ial Estimate Classification</w:t>
            </w:r>
          </w:p>
        </w:tc>
        <w:tc>
          <w:tcPr>
            <w:tcW w:w="4788" w:type="dxa"/>
            <w:tcBorders>
              <w:top w:val="single" w:sz="4" w:space="0" w:color="auto"/>
              <w:bottom w:val="single" w:sz="4" w:space="0" w:color="auto"/>
            </w:tcBorders>
            <w:vAlign w:val="center"/>
          </w:tcPr>
          <w:p w:rsidR="000D0FC6" w:rsidRDefault="000D0FC6" w:rsidP="00337A01">
            <w:pPr>
              <w:widowControl w:val="0"/>
              <w:autoSpaceDE w:val="0"/>
              <w:autoSpaceDN w:val="0"/>
              <w:adjustRightInd w:val="0"/>
            </w:pPr>
            <w:r>
              <w:t>Direct Microscopic Count</w:t>
            </w:r>
          </w:p>
          <w:p w:rsidR="000D0FC6" w:rsidRDefault="000D0FC6" w:rsidP="00337A01">
            <w:pPr>
              <w:widowControl w:val="0"/>
              <w:autoSpaceDE w:val="0"/>
              <w:autoSpaceDN w:val="0"/>
              <w:adjustRightInd w:val="0"/>
            </w:pPr>
            <w:r>
              <w:t xml:space="preserve">Standard Plate Count, </w:t>
            </w:r>
          </w:p>
          <w:p w:rsidR="000D0FC6" w:rsidRPr="000D0FC6" w:rsidRDefault="000D0FC6" w:rsidP="00337A01">
            <w:pPr>
              <w:widowControl w:val="0"/>
              <w:autoSpaceDE w:val="0"/>
              <w:autoSpaceDN w:val="0"/>
              <w:adjustRightInd w:val="0"/>
            </w:pPr>
            <w:r>
              <w:t>or Plate Loop Count.</w:t>
            </w:r>
          </w:p>
        </w:tc>
      </w:tr>
      <w:tr w:rsidR="000D0FC6">
        <w:tblPrEx>
          <w:tblCellMar>
            <w:top w:w="0" w:type="dxa"/>
            <w:bottom w:w="0" w:type="dxa"/>
          </w:tblCellMar>
        </w:tblPrEx>
        <w:trPr>
          <w:trHeight w:val="540"/>
        </w:trPr>
        <w:tc>
          <w:tcPr>
            <w:tcW w:w="4788" w:type="dxa"/>
            <w:tcBorders>
              <w:top w:val="single" w:sz="4" w:space="0" w:color="auto"/>
            </w:tcBorders>
            <w:vAlign w:val="bottom"/>
          </w:tcPr>
          <w:p w:rsidR="000D0FC6" w:rsidRPr="000D0FC6" w:rsidRDefault="000D0FC6" w:rsidP="000D0FC6">
            <w:pPr>
              <w:widowControl w:val="0"/>
              <w:autoSpaceDE w:val="0"/>
              <w:autoSpaceDN w:val="0"/>
              <w:adjustRightInd w:val="0"/>
              <w:ind w:left="1143"/>
            </w:pPr>
            <w:r>
              <w:t>No. 1</w:t>
            </w:r>
          </w:p>
        </w:tc>
        <w:tc>
          <w:tcPr>
            <w:tcW w:w="4788" w:type="dxa"/>
            <w:tcBorders>
              <w:top w:val="single" w:sz="4" w:space="0" w:color="auto"/>
            </w:tcBorders>
            <w:vAlign w:val="bottom"/>
          </w:tcPr>
          <w:p w:rsidR="000D0FC6" w:rsidRPr="000D0FC6" w:rsidRDefault="000D0FC6" w:rsidP="00337A01">
            <w:pPr>
              <w:widowControl w:val="0"/>
              <w:autoSpaceDE w:val="0"/>
              <w:autoSpaceDN w:val="0"/>
              <w:adjustRightInd w:val="0"/>
            </w:pPr>
            <w:r>
              <w:t>Not over 200,000 per ml</w:t>
            </w:r>
          </w:p>
        </w:tc>
      </w:tr>
      <w:tr w:rsidR="000D0FC6">
        <w:tblPrEx>
          <w:tblCellMar>
            <w:top w:w="0" w:type="dxa"/>
            <w:bottom w:w="0" w:type="dxa"/>
          </w:tblCellMar>
        </w:tblPrEx>
        <w:tc>
          <w:tcPr>
            <w:tcW w:w="4788" w:type="dxa"/>
          </w:tcPr>
          <w:p w:rsidR="000D0FC6" w:rsidRPr="000D0FC6" w:rsidRDefault="000D0FC6" w:rsidP="000D0FC6">
            <w:pPr>
              <w:widowControl w:val="0"/>
              <w:autoSpaceDE w:val="0"/>
              <w:autoSpaceDN w:val="0"/>
              <w:adjustRightInd w:val="0"/>
              <w:ind w:left="1143"/>
            </w:pPr>
            <w:r>
              <w:t>No. 2</w:t>
            </w:r>
          </w:p>
        </w:tc>
        <w:tc>
          <w:tcPr>
            <w:tcW w:w="4788" w:type="dxa"/>
          </w:tcPr>
          <w:p w:rsidR="000D0FC6" w:rsidRPr="000D0FC6" w:rsidRDefault="000D0FC6" w:rsidP="00337A01">
            <w:pPr>
              <w:widowControl w:val="0"/>
              <w:autoSpaceDE w:val="0"/>
              <w:autoSpaceDN w:val="0"/>
              <w:adjustRightInd w:val="0"/>
            </w:pPr>
            <w:r>
              <w:t>Not over 1,000,000 per ml</w:t>
            </w:r>
          </w:p>
        </w:tc>
      </w:tr>
      <w:tr w:rsidR="000D0FC6">
        <w:tblPrEx>
          <w:tblCellMar>
            <w:top w:w="0" w:type="dxa"/>
            <w:bottom w:w="0" w:type="dxa"/>
          </w:tblCellMar>
        </w:tblPrEx>
        <w:trPr>
          <w:trHeight w:val="450"/>
        </w:trPr>
        <w:tc>
          <w:tcPr>
            <w:tcW w:w="4788" w:type="dxa"/>
            <w:tcBorders>
              <w:bottom w:val="single" w:sz="4" w:space="0" w:color="auto"/>
            </w:tcBorders>
          </w:tcPr>
          <w:p w:rsidR="000D0FC6" w:rsidRPr="000D0FC6" w:rsidRDefault="000D0FC6" w:rsidP="000D0FC6">
            <w:pPr>
              <w:widowControl w:val="0"/>
              <w:autoSpaceDE w:val="0"/>
              <w:autoSpaceDN w:val="0"/>
              <w:adjustRightInd w:val="0"/>
              <w:ind w:left="1143"/>
            </w:pPr>
            <w:r>
              <w:t>Under Grade</w:t>
            </w:r>
          </w:p>
        </w:tc>
        <w:tc>
          <w:tcPr>
            <w:tcW w:w="4788" w:type="dxa"/>
            <w:tcBorders>
              <w:bottom w:val="single" w:sz="4" w:space="0" w:color="auto"/>
            </w:tcBorders>
          </w:tcPr>
          <w:p w:rsidR="000D0FC6" w:rsidRPr="000D0FC6" w:rsidRDefault="000D0FC6" w:rsidP="00337A01">
            <w:pPr>
              <w:widowControl w:val="0"/>
              <w:autoSpaceDE w:val="0"/>
              <w:autoSpaceDN w:val="0"/>
              <w:adjustRightInd w:val="0"/>
            </w:pPr>
            <w:r>
              <w:t>Over 1,000,000 per ml</w:t>
            </w:r>
          </w:p>
        </w:tc>
      </w:tr>
    </w:tbl>
    <w:p w:rsidR="00337A01" w:rsidRDefault="00337A01" w:rsidP="00337A01">
      <w:pPr>
        <w:widowControl w:val="0"/>
        <w:autoSpaceDE w:val="0"/>
        <w:autoSpaceDN w:val="0"/>
        <w:adjustRightInd w:val="0"/>
        <w:rPr>
          <w:u w:val="single"/>
        </w:rPr>
      </w:pPr>
    </w:p>
    <w:p w:rsidR="00337A01" w:rsidRDefault="00337A01" w:rsidP="00337A01">
      <w:pPr>
        <w:widowControl w:val="0"/>
        <w:autoSpaceDE w:val="0"/>
        <w:autoSpaceDN w:val="0"/>
        <w:adjustRightInd w:val="0"/>
        <w:ind w:left="1440" w:hanging="720"/>
      </w:pPr>
      <w:r>
        <w:t>a)</w:t>
      </w:r>
      <w:r>
        <w:tab/>
        <w:t xml:space="preserve">Method of Testing:  Methods for determining the bacterial estimate of milk shall be those described in the 15th edition of Standard Methods for the Examination of Dairy Products.  Samples shall be analyzed at an official State laboratory or at a laboratory approved by the Department. (See 77 Ill. Adm. Code 463) </w:t>
      </w:r>
    </w:p>
    <w:p w:rsidR="00C060D3" w:rsidRDefault="00C060D3" w:rsidP="00337A01">
      <w:pPr>
        <w:widowControl w:val="0"/>
        <w:autoSpaceDE w:val="0"/>
        <w:autoSpaceDN w:val="0"/>
        <w:adjustRightInd w:val="0"/>
        <w:ind w:left="1440" w:hanging="720"/>
      </w:pPr>
    </w:p>
    <w:p w:rsidR="00337A01" w:rsidRDefault="00337A01" w:rsidP="00337A01">
      <w:pPr>
        <w:widowControl w:val="0"/>
        <w:autoSpaceDE w:val="0"/>
        <w:autoSpaceDN w:val="0"/>
        <w:adjustRightInd w:val="0"/>
        <w:ind w:left="1440" w:hanging="720"/>
      </w:pPr>
      <w:r>
        <w:t>b)</w:t>
      </w:r>
      <w:r>
        <w:tab/>
        <w:t xml:space="preserve">Frequency of Tests:  At least once a month at irregular intervals, a mixed sample of each producer's milk shall be tested and results submitted to the Department. </w:t>
      </w:r>
    </w:p>
    <w:p w:rsidR="00C060D3" w:rsidRDefault="00C060D3" w:rsidP="00337A01">
      <w:pPr>
        <w:widowControl w:val="0"/>
        <w:autoSpaceDE w:val="0"/>
        <w:autoSpaceDN w:val="0"/>
        <w:adjustRightInd w:val="0"/>
        <w:ind w:left="1440" w:hanging="720"/>
      </w:pPr>
    </w:p>
    <w:p w:rsidR="00337A01" w:rsidRDefault="00337A01" w:rsidP="00337A01">
      <w:pPr>
        <w:widowControl w:val="0"/>
        <w:autoSpaceDE w:val="0"/>
        <w:autoSpaceDN w:val="0"/>
        <w:adjustRightInd w:val="0"/>
        <w:ind w:left="1440" w:hanging="720"/>
      </w:pPr>
      <w:r>
        <w:t>c)</w:t>
      </w:r>
      <w:r>
        <w:tab/>
        <w:t>Acceptance of Milk:  If the sample of milk is classified as No. 1 or No. 2, the producer's milk shall be accepted without qualification.  If the sample is classified as "</w:t>
      </w:r>
      <w:proofErr w:type="spellStart"/>
      <w:r>
        <w:t>Undergrade</w:t>
      </w:r>
      <w:proofErr w:type="spellEnd"/>
      <w:r>
        <w:t>" (</w:t>
      </w:r>
      <w:proofErr w:type="spellStart"/>
      <w:r>
        <w:t>probational</w:t>
      </w:r>
      <w:proofErr w:type="spellEnd"/>
      <w:r>
        <w:t>) the producer's milk shall be accepted for a temporary period of 4 weeks.  The producer of "</w:t>
      </w:r>
      <w:proofErr w:type="spellStart"/>
      <w:r>
        <w:t>Undergrade</w:t>
      </w:r>
      <w:proofErr w:type="spellEnd"/>
      <w:r>
        <w:t xml:space="preserve">" milk shall be notified by the Department. </w:t>
      </w:r>
    </w:p>
    <w:p w:rsidR="00C060D3" w:rsidRDefault="00C060D3" w:rsidP="00337A01">
      <w:pPr>
        <w:widowControl w:val="0"/>
        <w:autoSpaceDE w:val="0"/>
        <w:autoSpaceDN w:val="0"/>
        <w:adjustRightInd w:val="0"/>
        <w:ind w:left="1440" w:hanging="720"/>
      </w:pPr>
    </w:p>
    <w:p w:rsidR="00337A01" w:rsidRDefault="00337A01" w:rsidP="00337A01">
      <w:pPr>
        <w:widowControl w:val="0"/>
        <w:autoSpaceDE w:val="0"/>
        <w:autoSpaceDN w:val="0"/>
        <w:adjustRightInd w:val="0"/>
        <w:ind w:left="1440" w:hanging="720"/>
      </w:pPr>
      <w:r>
        <w:t>d)</w:t>
      </w:r>
      <w:r>
        <w:tab/>
        <w:t>Retests:  Additional samples shall be tested and classified at least weekly.  The producer and the Department will be notified of the results. This procedure of testing at least weekly and accepting "</w:t>
      </w:r>
      <w:proofErr w:type="spellStart"/>
      <w:r>
        <w:t>Undergrade</w:t>
      </w:r>
      <w:proofErr w:type="spellEnd"/>
      <w:r>
        <w:t xml:space="preserve">" milk shall be continued for a time period not exceeding 4 weeks.  If at the end of this time the producer's milk does not meet the acceptable bacterial estimate requirements (No. 1 or No. 2), it shall be excluded from market by notification from the Department in writing.  If the first or second weekly tests are acceptable, routine monthly testing may begin. </w:t>
      </w:r>
    </w:p>
    <w:sectPr w:rsidR="00337A01" w:rsidSect="00337A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A01"/>
    <w:rsid w:val="000D0FC6"/>
    <w:rsid w:val="00337A01"/>
    <w:rsid w:val="005C3366"/>
    <w:rsid w:val="00783ED7"/>
    <w:rsid w:val="00C060D3"/>
    <w:rsid w:val="00CA10F7"/>
    <w:rsid w:val="00DA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