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1A" w:rsidRDefault="00ED5D1A" w:rsidP="00ED5D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5D1A" w:rsidRDefault="00ED5D1A" w:rsidP="00ED5D1A">
      <w:pPr>
        <w:widowControl w:val="0"/>
        <w:autoSpaceDE w:val="0"/>
        <w:autoSpaceDN w:val="0"/>
        <w:adjustRightInd w:val="0"/>
      </w:pPr>
      <w:r>
        <w:t xml:space="preserve">AUTHORITY:  Authorized by and implementing the Asbestos Abatement Act [105 ILCS 105] and the Commercial and Public Building Asbestos Abatement Act [225 ILCS 207]. </w:t>
      </w:r>
    </w:p>
    <w:sectPr w:rsidR="00ED5D1A" w:rsidSect="00ED5D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5D1A"/>
    <w:rsid w:val="005B6B91"/>
    <w:rsid w:val="005C3366"/>
    <w:rsid w:val="00753422"/>
    <w:rsid w:val="00D8412F"/>
    <w:rsid w:val="00E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the Asbestos Abatement Act [105 ILCS 105] and the Commercial and Public Building As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the Asbestos Abatement Act [105 ILCS 105] and the Commercial and Public Building As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