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E" w:rsidRDefault="00763E6E" w:rsidP="00763E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3E6E" w:rsidRDefault="00763E6E" w:rsidP="00763E6E">
      <w:pPr>
        <w:widowControl w:val="0"/>
        <w:autoSpaceDE w:val="0"/>
        <w:autoSpaceDN w:val="0"/>
        <w:adjustRightInd w:val="0"/>
        <w:jc w:val="center"/>
      </w:pPr>
      <w:r>
        <w:t>SUBPART D:  ADDITIONAL RESPONSIBILITIES OF THE LICENSEE</w:t>
      </w:r>
    </w:p>
    <w:sectPr w:rsidR="00763E6E" w:rsidSect="00763E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E6E"/>
    <w:rsid w:val="003677C3"/>
    <w:rsid w:val="005C3366"/>
    <w:rsid w:val="00763E6E"/>
    <w:rsid w:val="00805BF4"/>
    <w:rsid w:val="008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ADDITIONAL RESPONSIBILITIES OF THE LICENSEE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ADDITIONAL RESPONSIBILITIES OF THE LICENSEE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