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A9" w:rsidRDefault="001F7BA9" w:rsidP="00710A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BA9" w:rsidRDefault="001F7BA9" w:rsidP="00710A9C">
      <w:pPr>
        <w:widowControl w:val="0"/>
        <w:autoSpaceDE w:val="0"/>
        <w:autoSpaceDN w:val="0"/>
        <w:adjustRightInd w:val="0"/>
        <w:jc w:val="center"/>
      </w:pPr>
      <w:r>
        <w:t>SUBPART D:  ECONOMIC FEASIBILITY REVIEW CRITERIA</w:t>
      </w:r>
    </w:p>
    <w:sectPr w:rsidR="001F7BA9" w:rsidSect="00710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BA9"/>
    <w:rsid w:val="001F7BA9"/>
    <w:rsid w:val="003A5D71"/>
    <w:rsid w:val="004D3E5A"/>
    <w:rsid w:val="00710A9C"/>
    <w:rsid w:val="007350DC"/>
    <w:rsid w:val="00C00F8F"/>
    <w:rsid w:val="00D343CB"/>
    <w:rsid w:val="00F6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ECONOMIC FEASIBILITY REVIEW CRITERIA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ECONOMIC FEASIBILITY REVIEW CRITERIA</dc:title>
  <dc:subject/>
  <dc:creator>MessingerRR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