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EA" w:rsidRDefault="001A63EA" w:rsidP="001A63EA">
      <w:pPr>
        <w:rPr>
          <w:rFonts w:ascii="Times New Roman" w:hAnsi="Times New Roman"/>
          <w:b/>
          <w:bCs/>
        </w:rPr>
      </w:pPr>
    </w:p>
    <w:p w:rsidR="001A63EA" w:rsidRPr="005454D0" w:rsidRDefault="001A63EA" w:rsidP="001A63EA">
      <w:pPr>
        <w:rPr>
          <w:rFonts w:ascii="Times New Roman" w:hAnsi="Times New Roman"/>
        </w:rPr>
      </w:pPr>
      <w:r w:rsidRPr="005454D0">
        <w:rPr>
          <w:rFonts w:ascii="Times New Roman" w:hAnsi="Times New Roman"/>
          <w:b/>
          <w:bCs/>
        </w:rPr>
        <w:t>Section 1130.1120  Discovery</w:t>
      </w:r>
      <w:r w:rsidRPr="005454D0">
        <w:rPr>
          <w:rFonts w:ascii="Times New Roman" w:hAnsi="Times New Roman"/>
        </w:rPr>
        <w:t xml:space="preserve"> </w:t>
      </w:r>
    </w:p>
    <w:p w:rsidR="001A63EA" w:rsidRPr="005454D0" w:rsidRDefault="001A63EA" w:rsidP="001A63EA">
      <w:pPr>
        <w:rPr>
          <w:rFonts w:ascii="Times New Roman" w:hAnsi="Times New Roman"/>
        </w:rPr>
      </w:pPr>
    </w:p>
    <w:p w:rsidR="001A63EA" w:rsidRPr="005454D0" w:rsidRDefault="001A63EA" w:rsidP="001A63EA">
      <w:pPr>
        <w:tabs>
          <w:tab w:val="num" w:pos="1440"/>
          <w:tab w:val="num" w:pos="2520"/>
        </w:tabs>
        <w:ind w:left="1440" w:hanging="720"/>
        <w:rPr>
          <w:rFonts w:ascii="Times New Roman" w:hAnsi="Times New Roman"/>
        </w:rPr>
      </w:pPr>
      <w:r>
        <w:rPr>
          <w:rFonts w:ascii="Times New Roman" w:hAnsi="Times New Roman"/>
        </w:rPr>
        <w:t>a)</w:t>
      </w:r>
      <w:r>
        <w:rPr>
          <w:rFonts w:ascii="Times New Roman" w:hAnsi="Times New Roman"/>
        </w:rPr>
        <w:tab/>
      </w:r>
      <w:r w:rsidRPr="005454D0">
        <w:rPr>
          <w:rFonts w:ascii="Times New Roman" w:hAnsi="Times New Roman"/>
        </w:rPr>
        <w:t xml:space="preserve">Prior to hearing or at the prehearing conference, </w:t>
      </w:r>
      <w:r w:rsidR="00CA7635">
        <w:rPr>
          <w:rFonts w:ascii="Times New Roman" w:hAnsi="Times New Roman"/>
        </w:rPr>
        <w:t>HFSRB</w:t>
      </w:r>
      <w:r w:rsidR="00A62834">
        <w:rPr>
          <w:rFonts w:ascii="Times New Roman" w:hAnsi="Times New Roman"/>
        </w:rPr>
        <w:t xml:space="preserve"> </w:t>
      </w:r>
      <w:r w:rsidRPr="005454D0">
        <w:rPr>
          <w:rFonts w:ascii="Times New Roman" w:hAnsi="Times New Roman"/>
        </w:rPr>
        <w:t>shall provide all</w:t>
      </w:r>
      <w:r w:rsidRPr="001A63EA">
        <w:rPr>
          <w:rFonts w:ascii="Times New Roman" w:hAnsi="Times New Roman"/>
        </w:rPr>
        <w:t xml:space="preserve"> </w:t>
      </w:r>
      <w:r w:rsidRPr="005454D0">
        <w:rPr>
          <w:rFonts w:ascii="Times New Roman" w:hAnsi="Times New Roman"/>
        </w:rPr>
        <w:t xml:space="preserve">parties with a copy of </w:t>
      </w:r>
      <w:r w:rsidR="00CA7635">
        <w:rPr>
          <w:rFonts w:ascii="Times New Roman" w:hAnsi="Times New Roman"/>
        </w:rPr>
        <w:t>HFSRB</w:t>
      </w:r>
      <w:r w:rsidR="00575077">
        <w:rPr>
          <w:rFonts w:ascii="Times New Roman" w:hAnsi="Times New Roman"/>
        </w:rPr>
        <w:t>'s</w:t>
      </w:r>
      <w:r w:rsidR="00A62834">
        <w:rPr>
          <w:rFonts w:ascii="Times New Roman" w:hAnsi="Times New Roman"/>
        </w:rPr>
        <w:t xml:space="preserve"> </w:t>
      </w:r>
      <w:r w:rsidRPr="005454D0">
        <w:rPr>
          <w:rFonts w:ascii="Times New Roman" w:hAnsi="Times New Roman"/>
        </w:rPr>
        <w:t>reports relating to the Allegations of Noncompliance.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b)</w:t>
      </w:r>
      <w:r>
        <w:rPr>
          <w:rFonts w:ascii="Times New Roman" w:hAnsi="Times New Roman"/>
        </w:rPr>
        <w:tab/>
      </w:r>
      <w:r w:rsidRPr="005454D0">
        <w:rPr>
          <w:rFonts w:ascii="Times New Roman" w:hAnsi="Times New Roman"/>
        </w:rPr>
        <w:t xml:space="preserve">At least 21 days prior to the commencement of the hearing, each party shall provide all other parties with a copy of any document that it intends to offer into evidence.  This subsection shall not require any party to again provide copies of those documents already provided by </w:t>
      </w:r>
      <w:r w:rsidR="00CA7635">
        <w:rPr>
          <w:rFonts w:ascii="Times New Roman" w:hAnsi="Times New Roman"/>
        </w:rPr>
        <w:t>HFSRB</w:t>
      </w:r>
      <w:r w:rsidRPr="005454D0">
        <w:rPr>
          <w:rFonts w:ascii="Times New Roman" w:hAnsi="Times New Roman"/>
        </w:rPr>
        <w:t xml:space="preserve"> under subsection (a).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c)</w:t>
      </w:r>
      <w:r>
        <w:rPr>
          <w:rFonts w:ascii="Times New Roman" w:hAnsi="Times New Roman"/>
        </w:rPr>
        <w:tab/>
      </w:r>
      <w:r w:rsidRPr="005454D0">
        <w:rPr>
          <w:rFonts w:ascii="Times New Roman" w:hAnsi="Times New Roman"/>
        </w:rPr>
        <w:t xml:space="preserve">At least 21 days prior to the commencement of the hearing, each party shall provide all other parties with a list containing the name and address of any witness who may be called to testify.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d)</w:t>
      </w:r>
      <w:r>
        <w:rPr>
          <w:rFonts w:ascii="Times New Roman" w:hAnsi="Times New Roman"/>
        </w:rPr>
        <w:tab/>
      </w:r>
      <w:r w:rsidRPr="005454D0">
        <w:rPr>
          <w:rFonts w:ascii="Times New Roman" w:hAnsi="Times New Roman"/>
        </w:rPr>
        <w:t>All parties shall be entitled to any exculpatory e</w:t>
      </w:r>
      <w:r w:rsidR="00575077">
        <w:rPr>
          <w:rFonts w:ascii="Times New Roman" w:hAnsi="Times New Roman"/>
        </w:rPr>
        <w:t xml:space="preserve">vidence in </w:t>
      </w:r>
      <w:r w:rsidR="00CA7635">
        <w:rPr>
          <w:rFonts w:ascii="Times New Roman" w:hAnsi="Times New Roman"/>
        </w:rPr>
        <w:t>HFSRB's</w:t>
      </w:r>
      <w:r w:rsidR="00A62834">
        <w:rPr>
          <w:rFonts w:ascii="Times New Roman" w:hAnsi="Times New Roman"/>
        </w:rPr>
        <w:t xml:space="preserve"> </w:t>
      </w:r>
      <w:r w:rsidRPr="005454D0">
        <w:rPr>
          <w:rFonts w:ascii="Times New Roman" w:hAnsi="Times New Roman"/>
        </w:rPr>
        <w:t>possession that tends to support the other party</w:t>
      </w:r>
      <w:r w:rsidR="00A62834">
        <w:rPr>
          <w:rFonts w:ascii="Times New Roman" w:hAnsi="Times New Roman"/>
        </w:rPr>
        <w:t>'</w:t>
      </w:r>
      <w:r w:rsidRPr="005454D0">
        <w:rPr>
          <w:rFonts w:ascii="Times New Roman" w:hAnsi="Times New Roman"/>
        </w:rPr>
        <w:t xml:space="preserve">s position or that might impeach the credibility of </w:t>
      </w:r>
      <w:r w:rsidR="00CA7635">
        <w:rPr>
          <w:rFonts w:ascii="Times New Roman" w:hAnsi="Times New Roman"/>
        </w:rPr>
        <w:t>HFSRB's</w:t>
      </w:r>
      <w:r w:rsidR="00A62834">
        <w:rPr>
          <w:rFonts w:ascii="Times New Roman" w:hAnsi="Times New Roman"/>
        </w:rPr>
        <w:t xml:space="preserve"> </w:t>
      </w:r>
      <w:r w:rsidRPr="005454D0">
        <w:rPr>
          <w:rFonts w:ascii="Times New Roman" w:hAnsi="Times New Roman"/>
        </w:rPr>
        <w:t xml:space="preserve">witness.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e)</w:t>
      </w:r>
      <w:r>
        <w:rPr>
          <w:rFonts w:ascii="Times New Roman" w:hAnsi="Times New Roman"/>
        </w:rPr>
        <w:tab/>
      </w:r>
      <w:r w:rsidRPr="005454D0">
        <w:rPr>
          <w:rFonts w:ascii="Times New Roman" w:hAnsi="Times New Roman"/>
        </w:rPr>
        <w:t>Upon a written request by</w:t>
      </w:r>
      <w:r w:rsidR="00A62834">
        <w:rPr>
          <w:rFonts w:ascii="Times New Roman" w:hAnsi="Times New Roman"/>
        </w:rPr>
        <w:t xml:space="preserve"> </w:t>
      </w:r>
      <w:r w:rsidR="00CA7635">
        <w:rPr>
          <w:rFonts w:ascii="Times New Roman" w:hAnsi="Times New Roman"/>
        </w:rPr>
        <w:t>HFSRB</w:t>
      </w:r>
      <w:r w:rsidRPr="005454D0">
        <w:rPr>
          <w:rFonts w:ascii="Times New Roman" w:hAnsi="Times New Roman"/>
        </w:rPr>
        <w:t xml:space="preserve">, at any time after a notice or hearing request is filed, or at any stage of the hearing, the other parties shall be required to produce within seven days documents, books, records, or other evidence that relates directly to conduct of the business entity or other subject of the administrative hearing.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f)</w:t>
      </w:r>
      <w:r>
        <w:rPr>
          <w:rFonts w:ascii="Times New Roman" w:hAnsi="Times New Roman"/>
        </w:rPr>
        <w:tab/>
      </w:r>
      <w:r w:rsidRPr="005454D0">
        <w:rPr>
          <w:rFonts w:ascii="Times New Roman" w:hAnsi="Times New Roman"/>
        </w:rPr>
        <w:t xml:space="preserve">All parties shall be under a continuing obligation to promptly update requested discovery until the hearing is concluded without the necessity for further or additional requests.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g)</w:t>
      </w:r>
      <w:r w:rsidRPr="005454D0">
        <w:rPr>
          <w:rFonts w:ascii="Times New Roman" w:hAnsi="Times New Roman"/>
        </w:rPr>
        <w:tab/>
        <w:t>There shall be no depositions for discovery purposes or interrogatories allowed in any proceedings brought pursuant to this Part, except as agreed to by the parties.</w:t>
      </w:r>
    </w:p>
    <w:p w:rsidR="001A63EA" w:rsidRPr="005454D0" w:rsidRDefault="001A63EA" w:rsidP="001A63EA">
      <w:pPr>
        <w:ind w:left="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h)</w:t>
      </w:r>
      <w:r>
        <w:rPr>
          <w:rFonts w:ascii="Times New Roman" w:hAnsi="Times New Roman"/>
        </w:rPr>
        <w:tab/>
      </w:r>
      <w:r w:rsidRPr="005454D0">
        <w:rPr>
          <w:rFonts w:ascii="Times New Roman" w:hAnsi="Times New Roman"/>
        </w:rPr>
        <w:t xml:space="preserve">For good cause shown, including but not limited to age, infirmity, or inability to travel, evidentiary depositions shall be allowed, by the agreement of the parties or order of the </w:t>
      </w:r>
      <w:r w:rsidR="00A62834">
        <w:rPr>
          <w:rFonts w:ascii="Times New Roman" w:hAnsi="Times New Roman"/>
        </w:rPr>
        <w:t>a</w:t>
      </w:r>
      <w:r w:rsidRPr="005454D0">
        <w:rPr>
          <w:rFonts w:ascii="Times New Roman" w:hAnsi="Times New Roman"/>
        </w:rPr>
        <w:t xml:space="preserve">dministrative </w:t>
      </w:r>
      <w:r w:rsidR="00A62834">
        <w:rPr>
          <w:rFonts w:ascii="Times New Roman" w:hAnsi="Times New Roman"/>
        </w:rPr>
        <w:t>l</w:t>
      </w:r>
      <w:r w:rsidRPr="005454D0">
        <w:rPr>
          <w:rFonts w:ascii="Times New Roman" w:hAnsi="Times New Roman"/>
        </w:rPr>
        <w:t xml:space="preserve">aw </w:t>
      </w:r>
      <w:r w:rsidR="00A62834">
        <w:rPr>
          <w:rFonts w:ascii="Times New Roman" w:hAnsi="Times New Roman"/>
        </w:rPr>
        <w:t>j</w:t>
      </w:r>
      <w:r w:rsidRPr="005454D0">
        <w:rPr>
          <w:rFonts w:ascii="Times New Roman" w:hAnsi="Times New Roman"/>
        </w:rPr>
        <w:t xml:space="preserve">udge.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i)</w:t>
      </w:r>
      <w:r>
        <w:rPr>
          <w:rFonts w:ascii="Times New Roman" w:hAnsi="Times New Roman"/>
        </w:rPr>
        <w:tab/>
      </w:r>
      <w:r w:rsidRPr="005454D0">
        <w:rPr>
          <w:rFonts w:ascii="Times New Roman" w:hAnsi="Times New Roman"/>
        </w:rPr>
        <w:t xml:space="preserve">Requests to Admit Facts and Genuineness of Documents shall be allowed in accordance with Supreme Court Rule 216. </w:t>
      </w:r>
    </w:p>
    <w:p w:rsidR="001A63EA" w:rsidRPr="005454D0" w:rsidRDefault="001A63EA" w:rsidP="001A63EA">
      <w:pPr>
        <w:ind w:left="1440" w:hanging="720"/>
        <w:rPr>
          <w:rFonts w:ascii="Times New Roman" w:hAnsi="Times New Roman"/>
        </w:rPr>
      </w:pPr>
    </w:p>
    <w:p w:rsidR="001A63EA" w:rsidRPr="005454D0" w:rsidRDefault="001A63EA" w:rsidP="001A63EA">
      <w:pPr>
        <w:ind w:left="1440" w:hanging="720"/>
        <w:rPr>
          <w:rFonts w:ascii="Times New Roman" w:hAnsi="Times New Roman"/>
        </w:rPr>
      </w:pPr>
      <w:r w:rsidRPr="005454D0">
        <w:rPr>
          <w:rFonts w:ascii="Times New Roman" w:hAnsi="Times New Roman"/>
        </w:rPr>
        <w:t>j)</w:t>
      </w:r>
      <w:r>
        <w:rPr>
          <w:rFonts w:ascii="Times New Roman" w:hAnsi="Times New Roman"/>
        </w:rPr>
        <w:tab/>
      </w:r>
      <w:r w:rsidRPr="005454D0">
        <w:rPr>
          <w:rFonts w:ascii="Times New Roman" w:hAnsi="Times New Roman"/>
        </w:rPr>
        <w:t xml:space="preserve">Nothing contained </w:t>
      </w:r>
      <w:r w:rsidR="00A62834">
        <w:rPr>
          <w:rFonts w:ascii="Times New Roman" w:hAnsi="Times New Roman"/>
        </w:rPr>
        <w:t xml:space="preserve">in this Section </w:t>
      </w:r>
      <w:r w:rsidRPr="005454D0">
        <w:rPr>
          <w:rFonts w:ascii="Times New Roman" w:hAnsi="Times New Roman"/>
        </w:rPr>
        <w:t xml:space="preserve">shall preclude the parties from agreeing to the voluntary exchange of more information than is required. </w:t>
      </w:r>
    </w:p>
    <w:p w:rsidR="001A63EA" w:rsidRPr="005454D0" w:rsidRDefault="001A63EA" w:rsidP="001A63EA">
      <w:pPr>
        <w:ind w:left="720"/>
        <w:rPr>
          <w:rFonts w:ascii="Times New Roman" w:hAnsi="Times New Roman"/>
        </w:rPr>
      </w:pPr>
    </w:p>
    <w:p w:rsidR="001A63EA" w:rsidRPr="001A63EA" w:rsidRDefault="00CA7635">
      <w:pPr>
        <w:pStyle w:val="JCARSourceNote"/>
        <w:ind w:left="720"/>
        <w:rPr>
          <w:rFonts w:ascii="Times New Roman" w:hAnsi="Times New Roman"/>
        </w:rPr>
      </w:pPr>
      <w:r w:rsidRPr="00CA7635">
        <w:rPr>
          <w:rFonts w:ascii="Times New Roman" w:hAnsi="Times New Roman"/>
        </w:rPr>
        <w:t>(Source:  Amended at 3</w:t>
      </w:r>
      <w:r w:rsidR="0099512C">
        <w:rPr>
          <w:rFonts w:ascii="Times New Roman" w:hAnsi="Times New Roman"/>
        </w:rPr>
        <w:t>7</w:t>
      </w:r>
      <w:r w:rsidRPr="00CA7635">
        <w:rPr>
          <w:rFonts w:ascii="Times New Roman" w:hAnsi="Times New Roman"/>
        </w:rPr>
        <w:t xml:space="preserve"> Ill. Reg. </w:t>
      </w:r>
      <w:r w:rsidR="00754B81">
        <w:rPr>
          <w:rFonts w:ascii="Times New Roman" w:hAnsi="Times New Roman"/>
        </w:rPr>
        <w:t>6227</w:t>
      </w:r>
      <w:r w:rsidRPr="00CA7635">
        <w:rPr>
          <w:rFonts w:ascii="Times New Roman" w:hAnsi="Times New Roman"/>
        </w:rPr>
        <w:t xml:space="preserve">, effective </w:t>
      </w:r>
      <w:bookmarkStart w:id="0" w:name="_GoBack"/>
      <w:r w:rsidR="00754B81">
        <w:rPr>
          <w:rFonts w:ascii="Times New Roman" w:hAnsi="Times New Roman"/>
        </w:rPr>
        <w:t>June 1, 2013</w:t>
      </w:r>
      <w:bookmarkEnd w:id="0"/>
      <w:r w:rsidRPr="00CA7635">
        <w:rPr>
          <w:rFonts w:ascii="Times New Roman" w:hAnsi="Times New Roman"/>
        </w:rPr>
        <w:t>)</w:t>
      </w:r>
    </w:p>
    <w:sectPr w:rsidR="001A63EA" w:rsidRPr="001A63E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2B" w:rsidRDefault="002E442B">
      <w:r>
        <w:separator/>
      </w:r>
    </w:p>
  </w:endnote>
  <w:endnote w:type="continuationSeparator" w:id="0">
    <w:p w:rsidR="002E442B" w:rsidRDefault="002E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2B" w:rsidRDefault="002E442B">
      <w:r>
        <w:separator/>
      </w:r>
    </w:p>
  </w:footnote>
  <w:footnote w:type="continuationSeparator" w:id="0">
    <w:p w:rsidR="002E442B" w:rsidRDefault="002E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C21"/>
    <w:multiLevelType w:val="hybridMultilevel"/>
    <w:tmpl w:val="3FA28C62"/>
    <w:lvl w:ilvl="0" w:tplc="5DB09A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42333"/>
    <w:rsid w:val="00150267"/>
    <w:rsid w:val="001A63EA"/>
    <w:rsid w:val="001C7D95"/>
    <w:rsid w:val="001E3074"/>
    <w:rsid w:val="00225354"/>
    <w:rsid w:val="002524EC"/>
    <w:rsid w:val="002A643F"/>
    <w:rsid w:val="002E442B"/>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75077"/>
    <w:rsid w:val="00576F19"/>
    <w:rsid w:val="005F4571"/>
    <w:rsid w:val="006A2114"/>
    <w:rsid w:val="006D5961"/>
    <w:rsid w:val="00723B07"/>
    <w:rsid w:val="00754B81"/>
    <w:rsid w:val="00780733"/>
    <w:rsid w:val="007C14B2"/>
    <w:rsid w:val="00801D20"/>
    <w:rsid w:val="00825C45"/>
    <w:rsid w:val="008271B1"/>
    <w:rsid w:val="00837F88"/>
    <w:rsid w:val="0084781C"/>
    <w:rsid w:val="008B4361"/>
    <w:rsid w:val="008D4EA0"/>
    <w:rsid w:val="00935A8C"/>
    <w:rsid w:val="0098276C"/>
    <w:rsid w:val="0099512C"/>
    <w:rsid w:val="009C4011"/>
    <w:rsid w:val="009C4FD4"/>
    <w:rsid w:val="009D3FB7"/>
    <w:rsid w:val="00A174BB"/>
    <w:rsid w:val="00A2265D"/>
    <w:rsid w:val="00A414BC"/>
    <w:rsid w:val="00A600AA"/>
    <w:rsid w:val="00A62834"/>
    <w:rsid w:val="00A62F7E"/>
    <w:rsid w:val="00AB29C6"/>
    <w:rsid w:val="00AB5647"/>
    <w:rsid w:val="00AE120A"/>
    <w:rsid w:val="00AE1744"/>
    <w:rsid w:val="00AE5547"/>
    <w:rsid w:val="00B0740A"/>
    <w:rsid w:val="00B07E7E"/>
    <w:rsid w:val="00B31598"/>
    <w:rsid w:val="00B35D67"/>
    <w:rsid w:val="00B516F7"/>
    <w:rsid w:val="00B66925"/>
    <w:rsid w:val="00B71177"/>
    <w:rsid w:val="00B876EC"/>
    <w:rsid w:val="00BF5EF1"/>
    <w:rsid w:val="00C4537A"/>
    <w:rsid w:val="00CA7635"/>
    <w:rsid w:val="00CC13F9"/>
    <w:rsid w:val="00CD3723"/>
    <w:rsid w:val="00D55B37"/>
    <w:rsid w:val="00D56FE7"/>
    <w:rsid w:val="00D62188"/>
    <w:rsid w:val="00D735B8"/>
    <w:rsid w:val="00D93C67"/>
    <w:rsid w:val="00DA75A4"/>
    <w:rsid w:val="00DB4ECF"/>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3EA"/>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3EA"/>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2013-04-19T14:17:00Z</dcterms:created>
  <dcterms:modified xsi:type="dcterms:W3CDTF">2013-05-03T20:52:00Z</dcterms:modified>
</cp:coreProperties>
</file>