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95" w:rsidRDefault="00215695" w:rsidP="00215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695" w:rsidRDefault="00215695" w:rsidP="002156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1250.840  Collection of Data</w:t>
      </w:r>
      <w:r>
        <w:t xml:space="preserve"> </w:t>
      </w:r>
    </w:p>
    <w:p w:rsidR="00215695" w:rsidRDefault="00215695" w:rsidP="00215695">
      <w:pPr>
        <w:widowControl w:val="0"/>
        <w:autoSpaceDE w:val="0"/>
        <w:autoSpaceDN w:val="0"/>
        <w:adjustRightInd w:val="0"/>
      </w:pPr>
    </w:p>
    <w:p w:rsidR="00215695" w:rsidRDefault="00215695" w:rsidP="00215695">
      <w:pPr>
        <w:widowControl w:val="0"/>
        <w:autoSpaceDE w:val="0"/>
        <w:autoSpaceDN w:val="0"/>
        <w:adjustRightInd w:val="0"/>
      </w:pPr>
      <w:r>
        <w:t xml:space="preserve">The State Agency shall collect, or have collected by agreement, all necessary data to perform appropriateness reviews. </w:t>
      </w:r>
    </w:p>
    <w:sectPr w:rsidR="00215695" w:rsidSect="00215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695"/>
    <w:rsid w:val="00215695"/>
    <w:rsid w:val="002D147B"/>
    <w:rsid w:val="005C3366"/>
    <w:rsid w:val="00686236"/>
    <w:rsid w:val="00D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