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D" w:rsidRDefault="00AB5D9D" w:rsidP="00AB5D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D9D" w:rsidRDefault="00AB5D9D" w:rsidP="00AB5D9D">
      <w:pPr>
        <w:widowControl w:val="0"/>
        <w:autoSpaceDE w:val="0"/>
        <w:autoSpaceDN w:val="0"/>
        <w:adjustRightInd w:val="0"/>
        <w:jc w:val="center"/>
      </w:pPr>
      <w:r>
        <w:t>SUBPART Q:  CRITERIA AND STANDARDS--CARDIOVASCULAR SURGERY</w:t>
      </w:r>
    </w:p>
    <w:sectPr w:rsidR="00AB5D9D" w:rsidSect="00AB5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D9D"/>
    <w:rsid w:val="003A0910"/>
    <w:rsid w:val="0043669B"/>
    <w:rsid w:val="005C3366"/>
    <w:rsid w:val="00AB5D9D"/>
    <w:rsid w:val="00F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CRITERIA AND STANDARDS--CARDIOVASCULAR SURGERY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CRITERIA AND STANDARDS--CARDIOVASCULAR SURGERY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