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4F" w:rsidRDefault="0017044F" w:rsidP="001704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44F" w:rsidRDefault="0017044F" w:rsidP="001704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1250.2310  Introduction</w:t>
      </w:r>
      <w:r>
        <w:t xml:space="preserve"> </w:t>
      </w:r>
    </w:p>
    <w:p w:rsidR="0017044F" w:rsidRDefault="0017044F" w:rsidP="0017044F">
      <w:pPr>
        <w:widowControl w:val="0"/>
        <w:autoSpaceDE w:val="0"/>
        <w:autoSpaceDN w:val="0"/>
        <w:adjustRightInd w:val="0"/>
      </w:pPr>
    </w:p>
    <w:p w:rsidR="0017044F" w:rsidRDefault="0017044F" w:rsidP="0017044F">
      <w:pPr>
        <w:widowControl w:val="0"/>
        <w:autoSpaceDE w:val="0"/>
        <w:autoSpaceDN w:val="0"/>
        <w:adjustRightInd w:val="0"/>
      </w:pPr>
      <w:r>
        <w:t xml:space="preserve">The criteria and standards established in this Section provide the basis for evaluating inpatient Chronic Mental Illness (M.I.) Treatment Services as currently recognized as being provided in State-Operated facilities in relation to the ability of the entire system to meet the needs for those services in the most cost effective and quality setting. </w:t>
      </w:r>
    </w:p>
    <w:p w:rsidR="0017044F" w:rsidRDefault="0017044F" w:rsidP="0017044F">
      <w:pPr>
        <w:widowControl w:val="0"/>
        <w:autoSpaceDE w:val="0"/>
        <w:autoSpaceDN w:val="0"/>
        <w:adjustRightInd w:val="0"/>
      </w:pPr>
    </w:p>
    <w:p w:rsidR="0017044F" w:rsidRDefault="0017044F" w:rsidP="001704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17044F" w:rsidSect="00170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44F"/>
    <w:rsid w:val="00041E15"/>
    <w:rsid w:val="0017044F"/>
    <w:rsid w:val="005C3366"/>
    <w:rsid w:val="0086510A"/>
    <w:rsid w:val="009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