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3D" w:rsidRDefault="00DC2C3D" w:rsidP="00DC2C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2C3D" w:rsidRDefault="00DC2C3D" w:rsidP="00DC2C3D">
      <w:pPr>
        <w:widowControl w:val="0"/>
        <w:autoSpaceDE w:val="0"/>
        <w:autoSpaceDN w:val="0"/>
        <w:adjustRightInd w:val="0"/>
      </w:pPr>
      <w:r>
        <w:t xml:space="preserve">AUTHORITY:  Authorized by the Illinois Alcoholism and Other Drug Abuse and Dependency Act [20 ILCS 301]. </w:t>
      </w:r>
    </w:p>
    <w:sectPr w:rsidR="00DC2C3D" w:rsidSect="00DC2C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C3D"/>
    <w:rsid w:val="005C3366"/>
    <w:rsid w:val="006071BE"/>
    <w:rsid w:val="00756897"/>
    <w:rsid w:val="00C23939"/>
    <w:rsid w:val="00D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the Illinois Alcoholism and Other Drug Abuse and Dependency Act [20 ILCS 301]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the Illinois Alcoholism and Other Drug Abuse and Dependency Act [20 ILCS 301]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