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5F" w:rsidRDefault="002E4A5F" w:rsidP="002E4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A5F" w:rsidRDefault="002E4A5F" w:rsidP="002E4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2030.1245  Protection of Client Records/Confidentiality</w:t>
      </w:r>
      <w:r>
        <w:t xml:space="preserve"> </w:t>
      </w:r>
    </w:p>
    <w:p w:rsidR="002E4A5F" w:rsidRDefault="002E4A5F" w:rsidP="002E4A5F">
      <w:pPr>
        <w:widowControl w:val="0"/>
        <w:autoSpaceDE w:val="0"/>
        <w:autoSpaceDN w:val="0"/>
        <w:adjustRightInd w:val="0"/>
      </w:pPr>
    </w:p>
    <w:p w:rsidR="002E4A5F" w:rsidRDefault="002E4A5F" w:rsidP="002E4A5F">
      <w:pPr>
        <w:widowControl w:val="0"/>
        <w:autoSpaceDE w:val="0"/>
        <w:autoSpaceDN w:val="0"/>
        <w:adjustRightInd w:val="0"/>
      </w:pPr>
      <w:r>
        <w:t xml:space="preserve">The fund recipient shall comply with Federal and State statutes and regulations governing the confidentiality of alcohol and drug abuse patient records, including the following: </w:t>
      </w:r>
    </w:p>
    <w:p w:rsidR="00AC43EE" w:rsidRDefault="00AC43EE" w:rsidP="002E4A5F">
      <w:pPr>
        <w:widowControl w:val="0"/>
        <w:autoSpaceDE w:val="0"/>
        <w:autoSpaceDN w:val="0"/>
        <w:adjustRightInd w:val="0"/>
      </w:pPr>
    </w:p>
    <w:p w:rsidR="002E4A5F" w:rsidRDefault="002E4A5F" w:rsidP="002E4A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42 U.S.C. 290 dd-3 (Supp. 1984)</w:t>
      </w:r>
      <w:r w:rsidR="00AD7BB4">
        <w:t xml:space="preserve"> </w:t>
      </w:r>
      <w:r>
        <w:t xml:space="preserve">(alcohol); </w:t>
      </w:r>
    </w:p>
    <w:p w:rsidR="00AC43EE" w:rsidRDefault="00AC43EE" w:rsidP="002E4A5F">
      <w:pPr>
        <w:widowControl w:val="0"/>
        <w:autoSpaceDE w:val="0"/>
        <w:autoSpaceDN w:val="0"/>
        <w:adjustRightInd w:val="0"/>
        <w:ind w:left="1440" w:hanging="720"/>
      </w:pPr>
    </w:p>
    <w:p w:rsidR="002E4A5F" w:rsidRDefault="002E4A5F" w:rsidP="002E4A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42 U.S.C. 290 ee-3 (Supp. 1984)</w:t>
      </w:r>
      <w:r w:rsidR="00AD7BB4">
        <w:t xml:space="preserve"> </w:t>
      </w:r>
      <w:r>
        <w:t xml:space="preserve">(substance abuse); </w:t>
      </w:r>
    </w:p>
    <w:p w:rsidR="00AC43EE" w:rsidRDefault="00AC43EE" w:rsidP="002E4A5F">
      <w:pPr>
        <w:widowControl w:val="0"/>
        <w:autoSpaceDE w:val="0"/>
        <w:autoSpaceDN w:val="0"/>
        <w:adjustRightInd w:val="0"/>
        <w:ind w:left="1440" w:hanging="720"/>
      </w:pPr>
    </w:p>
    <w:p w:rsidR="002E4A5F" w:rsidRDefault="002E4A5F" w:rsidP="002E4A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42 CFR 2 (1987); </w:t>
      </w:r>
    </w:p>
    <w:p w:rsidR="00AC43EE" w:rsidRDefault="00AC43EE" w:rsidP="002E4A5F">
      <w:pPr>
        <w:widowControl w:val="0"/>
        <w:autoSpaceDE w:val="0"/>
        <w:autoSpaceDN w:val="0"/>
        <w:adjustRightInd w:val="0"/>
        <w:ind w:left="1440" w:hanging="720"/>
      </w:pPr>
    </w:p>
    <w:p w:rsidR="002E4A5F" w:rsidRDefault="002E4A5F" w:rsidP="002E4A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20 ILCS 305/1-101; </w:t>
      </w:r>
    </w:p>
    <w:p w:rsidR="00AC43EE" w:rsidRDefault="00AC43EE" w:rsidP="002E4A5F">
      <w:pPr>
        <w:widowControl w:val="0"/>
        <w:autoSpaceDE w:val="0"/>
        <w:autoSpaceDN w:val="0"/>
        <w:adjustRightInd w:val="0"/>
        <w:ind w:left="1440" w:hanging="720"/>
      </w:pPr>
    </w:p>
    <w:p w:rsidR="002E4A5F" w:rsidRDefault="002E4A5F" w:rsidP="002E4A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77 Ill. Adm. Code 2058. </w:t>
      </w:r>
    </w:p>
    <w:sectPr w:rsidR="002E4A5F" w:rsidSect="002E4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A5F"/>
    <w:rsid w:val="002E4A5F"/>
    <w:rsid w:val="00396FA4"/>
    <w:rsid w:val="00406BE2"/>
    <w:rsid w:val="005C3366"/>
    <w:rsid w:val="008113D2"/>
    <w:rsid w:val="00AC43EE"/>
    <w:rsid w:val="00A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