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98" w:rsidRDefault="004E2198" w:rsidP="004E21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198" w:rsidRDefault="004E2198" w:rsidP="004E21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2070.20  Designated Products</w:t>
      </w:r>
      <w:r>
        <w:t xml:space="preserve"> </w:t>
      </w:r>
    </w:p>
    <w:p w:rsidR="004E2198" w:rsidRDefault="004E2198" w:rsidP="004E2198">
      <w:pPr>
        <w:widowControl w:val="0"/>
        <w:autoSpaceDE w:val="0"/>
        <w:autoSpaceDN w:val="0"/>
        <w:adjustRightInd w:val="0"/>
      </w:pPr>
    </w:p>
    <w:p w:rsidR="004E2198" w:rsidRDefault="004E2198" w:rsidP="004E2198">
      <w:pPr>
        <w:widowControl w:val="0"/>
        <w:autoSpaceDE w:val="0"/>
        <w:autoSpaceDN w:val="0"/>
        <w:adjustRightInd w:val="0"/>
      </w:pPr>
      <w:r>
        <w:t xml:space="preserve">The Department finds that the following Controlled Substances listed in Schedule II (Subpart C) require use of an official prescription blank for dispensation:  any narcotic drug, amphetamine, glutethimide, phenmetrazine, methamphetamine, pentazocine, or cannabis product. </w:t>
      </w:r>
    </w:p>
    <w:p w:rsidR="004E2198" w:rsidRDefault="004E2198" w:rsidP="004E2198">
      <w:pPr>
        <w:widowControl w:val="0"/>
        <w:autoSpaceDE w:val="0"/>
        <w:autoSpaceDN w:val="0"/>
        <w:adjustRightInd w:val="0"/>
      </w:pPr>
    </w:p>
    <w:p w:rsidR="004E2198" w:rsidRDefault="004E2198" w:rsidP="004E21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5192, effective March 17, 1987) </w:t>
      </w:r>
    </w:p>
    <w:sectPr w:rsidR="004E2198" w:rsidSect="004E21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198"/>
    <w:rsid w:val="002B2C02"/>
    <w:rsid w:val="00470502"/>
    <w:rsid w:val="004E2198"/>
    <w:rsid w:val="005C3366"/>
    <w:rsid w:val="009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