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26" w:rsidRDefault="001F4026" w:rsidP="001F40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4026" w:rsidRDefault="001F4026" w:rsidP="001F40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2070.1510  Phencyclidine</w:t>
      </w:r>
      <w:r>
        <w:t xml:space="preserve"> </w:t>
      </w:r>
    </w:p>
    <w:p w:rsidR="001F4026" w:rsidRDefault="001F4026" w:rsidP="001F4026">
      <w:pPr>
        <w:widowControl w:val="0"/>
        <w:autoSpaceDE w:val="0"/>
        <w:autoSpaceDN w:val="0"/>
        <w:adjustRightInd w:val="0"/>
      </w:pPr>
    </w:p>
    <w:p w:rsidR="001F4026" w:rsidRDefault="001F4026" w:rsidP="001F4026">
      <w:pPr>
        <w:widowControl w:val="0"/>
        <w:autoSpaceDE w:val="0"/>
        <w:autoSpaceDN w:val="0"/>
        <w:adjustRightInd w:val="0"/>
      </w:pPr>
      <w:r>
        <w:t xml:space="preserve">Immediate precursors to phencyclidine. </w:t>
      </w:r>
    </w:p>
    <w:p w:rsidR="00BC2AD7" w:rsidRDefault="00BC2AD7" w:rsidP="001F4026">
      <w:pPr>
        <w:widowControl w:val="0"/>
        <w:autoSpaceDE w:val="0"/>
        <w:autoSpaceDN w:val="0"/>
        <w:adjustRightInd w:val="0"/>
      </w:pPr>
    </w:p>
    <w:p w:rsidR="001F4026" w:rsidRDefault="001F4026" w:rsidP="001F402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1-phenylcyclohexylamine </w:t>
      </w:r>
    </w:p>
    <w:p w:rsidR="00BC2AD7" w:rsidRDefault="00BC2AD7" w:rsidP="001F4026">
      <w:pPr>
        <w:widowControl w:val="0"/>
        <w:autoSpaceDE w:val="0"/>
        <w:autoSpaceDN w:val="0"/>
        <w:adjustRightInd w:val="0"/>
        <w:ind w:left="1440" w:hanging="720"/>
      </w:pPr>
    </w:p>
    <w:p w:rsidR="001F4026" w:rsidRDefault="001F4026" w:rsidP="001F402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1-piperidinocyclohexanecarbonitrile (PCC). </w:t>
      </w:r>
    </w:p>
    <w:sectPr w:rsidR="001F4026" w:rsidSect="001F40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4026"/>
    <w:rsid w:val="00162390"/>
    <w:rsid w:val="001F4026"/>
    <w:rsid w:val="00447153"/>
    <w:rsid w:val="005C3366"/>
    <w:rsid w:val="0077135A"/>
    <w:rsid w:val="00BC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