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49" w:rsidRDefault="004C3E49" w:rsidP="004C3E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E49" w:rsidRDefault="004C3E49" w:rsidP="004C3E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2070.2105  Schedule IV</w:t>
      </w:r>
      <w:r w:rsidR="00BF4139">
        <w:rPr>
          <w:b/>
          <w:bCs/>
        </w:rPr>
        <w:t xml:space="preserve"> − </w:t>
      </w:r>
      <w:r>
        <w:rPr>
          <w:b/>
          <w:bCs/>
        </w:rPr>
        <w:t>Enumeration</w:t>
      </w:r>
      <w:r>
        <w:t xml:space="preserve"> </w:t>
      </w:r>
    </w:p>
    <w:p w:rsidR="004C3E49" w:rsidRDefault="004C3E49" w:rsidP="004C3E49">
      <w:pPr>
        <w:widowControl w:val="0"/>
        <w:autoSpaceDE w:val="0"/>
        <w:autoSpaceDN w:val="0"/>
        <w:adjustRightInd w:val="0"/>
      </w:pPr>
    </w:p>
    <w:p w:rsidR="004C3E49" w:rsidRDefault="004C3E49" w:rsidP="004C3E49">
      <w:pPr>
        <w:widowControl w:val="0"/>
        <w:autoSpaceDE w:val="0"/>
        <w:autoSpaceDN w:val="0"/>
        <w:adjustRightInd w:val="0"/>
      </w:pPr>
      <w:r>
        <w:t xml:space="preserve">The controlled substances listed in these Sections 2070.2110 through 2070.2600 are included in Schedule IV. </w:t>
      </w:r>
    </w:p>
    <w:sectPr w:rsidR="004C3E49" w:rsidSect="004C3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E49"/>
    <w:rsid w:val="001520D2"/>
    <w:rsid w:val="003660DA"/>
    <w:rsid w:val="004C3E49"/>
    <w:rsid w:val="005C3366"/>
    <w:rsid w:val="00BF4139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