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88" w:rsidRDefault="00112A88" w:rsidP="00112A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A88" w:rsidRDefault="00112A88" w:rsidP="00112A88">
      <w:pPr>
        <w:widowControl w:val="0"/>
        <w:autoSpaceDE w:val="0"/>
        <w:autoSpaceDN w:val="0"/>
        <w:adjustRightInd w:val="0"/>
      </w:pPr>
      <w:r>
        <w:t xml:space="preserve">AUTHORITY:  Implementing Section 4-4 of Article IV and authorized by Section 2-3 of Article II of the Illinois Health Finance Reform Act [20 ILCS 2215/4-4 and 2-3]. </w:t>
      </w:r>
    </w:p>
    <w:sectPr w:rsidR="00112A88" w:rsidSect="00112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A88"/>
    <w:rsid w:val="00112A88"/>
    <w:rsid w:val="00180DEA"/>
    <w:rsid w:val="001D062D"/>
    <w:rsid w:val="005C3366"/>
    <w:rsid w:val="007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4-4 of Article IV and authorized by Section 2-3 of Article II of the Illinois Health Finance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4-4 of Article IV and authorized by Section 2-3 of Article II of the Illinois Health Finance 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