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EB" w:rsidRDefault="00590AEB" w:rsidP="00590A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AEB" w:rsidRDefault="00590AEB" w:rsidP="00590AEB">
      <w:pPr>
        <w:widowControl w:val="0"/>
        <w:autoSpaceDE w:val="0"/>
        <w:autoSpaceDN w:val="0"/>
        <w:adjustRightInd w:val="0"/>
      </w:pPr>
      <w:r>
        <w:t xml:space="preserve">SOURCE:  Emergency rules adopted at 9 Ill. Reg. 11129, effective June 30, 1985, for a maximum of 150 days; Codification changes at 9 Ill. Reg. 17902; adopted at 9 Ill. Reg. 18929, effective November 27, 1985; amended at 11 Ill. Reg. 9118, effective April 30, 1987; amended at 12 Ill. Reg. 15550, effective September 16, 1988; amended at 13 Ill. Reg. 15993, effective November 1, 1989. </w:t>
      </w:r>
    </w:p>
    <w:sectPr w:rsidR="00590AEB" w:rsidSect="00590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AEB"/>
    <w:rsid w:val="00590AEB"/>
    <w:rsid w:val="005C1143"/>
    <w:rsid w:val="005C3366"/>
    <w:rsid w:val="00684794"/>
    <w:rsid w:val="008B08B3"/>
    <w:rsid w:val="008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