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16" w:rsidRDefault="009A7916" w:rsidP="009A7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916" w:rsidRDefault="009A7916" w:rsidP="009A7916">
      <w:pPr>
        <w:widowControl w:val="0"/>
        <w:autoSpaceDE w:val="0"/>
        <w:autoSpaceDN w:val="0"/>
        <w:adjustRightInd w:val="0"/>
      </w:pPr>
      <w:r>
        <w:t xml:space="preserve">AUTHORITY:  Implementing and authorized by Section 3-12(a)(2) and (11.1) of the Liquor Control Act of 1934 [235 ILCS 5/3-12(a)(2) and (11.1)]. </w:t>
      </w:r>
    </w:p>
    <w:sectPr w:rsidR="009A7916" w:rsidSect="009A7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916"/>
    <w:rsid w:val="00251EA3"/>
    <w:rsid w:val="005C3366"/>
    <w:rsid w:val="00651B73"/>
    <w:rsid w:val="0091262D"/>
    <w:rsid w:val="009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3-12(a)(2) and (11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3-12(a)(2) and (11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