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632" w:rsidRDefault="001C2632" w:rsidP="001C26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2632" w:rsidRDefault="001C2632" w:rsidP="001C2632">
      <w:pPr>
        <w:widowControl w:val="0"/>
        <w:autoSpaceDE w:val="0"/>
        <w:autoSpaceDN w:val="0"/>
        <w:adjustRightInd w:val="0"/>
      </w:pPr>
      <w:r>
        <w:t>SOURCE:  Filed and effective December 20, 1955; codified at 8 Ill. Reg. 8894; amended at 19 Ill. Reg. 16821, effective January 1, 1996; expedited correction at 20 Ill. Reg. 7557, effective Ja</w:t>
      </w:r>
      <w:r w:rsidR="00437E88">
        <w:t xml:space="preserve">nuary 1, 1996. </w:t>
      </w:r>
    </w:p>
    <w:sectPr w:rsidR="001C2632" w:rsidSect="001C26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2632"/>
    <w:rsid w:val="000E6008"/>
    <w:rsid w:val="001C2632"/>
    <w:rsid w:val="002D1D63"/>
    <w:rsid w:val="00437E88"/>
    <w:rsid w:val="005C3366"/>
    <w:rsid w:val="00D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December 20, 1955; codified at 8 Ill</vt:lpstr>
    </vt:vector>
  </TitlesOfParts>
  <Company>State of Illinois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December 20, 1955; codified at 8 Ill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