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AA" w:rsidRDefault="00F275AA" w:rsidP="00574410">
      <w:pPr>
        <w:rPr>
          <w:b/>
        </w:rPr>
      </w:pPr>
      <w:bookmarkStart w:id="0" w:name="_GoBack"/>
      <w:bookmarkEnd w:id="0"/>
    </w:p>
    <w:p w:rsidR="00574410" w:rsidRPr="00574410" w:rsidRDefault="00574410" w:rsidP="00574410">
      <w:pPr>
        <w:rPr>
          <w:b/>
        </w:rPr>
      </w:pPr>
      <w:r w:rsidRPr="00574410">
        <w:rPr>
          <w:b/>
        </w:rPr>
        <w:t>Section 202.320  Motion to Quash Subpoena</w:t>
      </w:r>
    </w:p>
    <w:p w:rsidR="00574410" w:rsidRPr="00574410" w:rsidRDefault="00574410" w:rsidP="00574410"/>
    <w:p w:rsidR="00574410" w:rsidRPr="00574410" w:rsidRDefault="00574410" w:rsidP="00574410">
      <w:r w:rsidRPr="00574410">
        <w:t>The arbitrator, upon motion, may quash or modify a subpoena or request for discovery.</w:t>
      </w:r>
    </w:p>
    <w:sectPr w:rsidR="00574410" w:rsidRPr="0057441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B" w:rsidRDefault="00394C3B">
      <w:r>
        <w:separator/>
      </w:r>
    </w:p>
  </w:endnote>
  <w:endnote w:type="continuationSeparator" w:id="0">
    <w:p w:rsidR="00394C3B" w:rsidRDefault="0039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B" w:rsidRDefault="00394C3B">
      <w:r>
        <w:separator/>
      </w:r>
    </w:p>
  </w:footnote>
  <w:footnote w:type="continuationSeparator" w:id="0">
    <w:p w:rsidR="00394C3B" w:rsidRDefault="0039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41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7DD5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2515"/>
    <w:rsid w:val="00356003"/>
    <w:rsid w:val="00367A2E"/>
    <w:rsid w:val="00374367"/>
    <w:rsid w:val="00374639"/>
    <w:rsid w:val="00375C58"/>
    <w:rsid w:val="00385640"/>
    <w:rsid w:val="00393652"/>
    <w:rsid w:val="00394002"/>
    <w:rsid w:val="00394C3B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4410"/>
    <w:rsid w:val="00576975"/>
    <w:rsid w:val="005777E6"/>
    <w:rsid w:val="00586A81"/>
    <w:rsid w:val="005901D4"/>
    <w:rsid w:val="005948A7"/>
    <w:rsid w:val="005A2494"/>
    <w:rsid w:val="005A73F7"/>
    <w:rsid w:val="005C3B23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2C1E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87B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75AA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