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BA" w:rsidRDefault="00A67DBA" w:rsidP="00A67DBA">
      <w:pPr>
        <w:widowControl w:val="0"/>
        <w:autoSpaceDE w:val="0"/>
        <w:autoSpaceDN w:val="0"/>
        <w:adjustRightInd w:val="0"/>
      </w:pPr>
      <w:bookmarkStart w:id="0" w:name="_GoBack"/>
      <w:bookmarkEnd w:id="0"/>
    </w:p>
    <w:p w:rsidR="00A67DBA" w:rsidRDefault="00A67DBA" w:rsidP="00A67DBA">
      <w:pPr>
        <w:widowControl w:val="0"/>
        <w:autoSpaceDE w:val="0"/>
        <w:autoSpaceDN w:val="0"/>
        <w:adjustRightInd w:val="0"/>
      </w:pPr>
      <w:r>
        <w:rPr>
          <w:b/>
          <w:bCs/>
        </w:rPr>
        <w:t>Section 215.50  Report of Change of</w:t>
      </w:r>
      <w:r>
        <w:t xml:space="preserve"> </w:t>
      </w:r>
      <w:r>
        <w:rPr>
          <w:b/>
          <w:bCs/>
        </w:rPr>
        <w:t>Chief</w:t>
      </w:r>
      <w:r>
        <w:t xml:space="preserve"> </w:t>
      </w:r>
      <w:r>
        <w:rPr>
          <w:b/>
          <w:bCs/>
        </w:rPr>
        <w:t>Executive Officer or Agent</w:t>
      </w:r>
      <w:r>
        <w:t xml:space="preserve"> </w:t>
      </w:r>
    </w:p>
    <w:p w:rsidR="00A67DBA" w:rsidRDefault="00A67DBA" w:rsidP="00A67DBA">
      <w:pPr>
        <w:widowControl w:val="0"/>
        <w:autoSpaceDE w:val="0"/>
        <w:autoSpaceDN w:val="0"/>
        <w:adjustRightInd w:val="0"/>
      </w:pPr>
    </w:p>
    <w:p w:rsidR="00A67DBA" w:rsidRDefault="00A67DBA" w:rsidP="00A67DBA">
      <w:pPr>
        <w:widowControl w:val="0"/>
        <w:autoSpaceDE w:val="0"/>
        <w:autoSpaceDN w:val="0"/>
        <w:adjustRightInd w:val="0"/>
      </w:pPr>
      <w:r>
        <w:t xml:space="preserve">Within 15 days after any change regarding the chief executive officer or designated agent, a report of such action, and the information relative to the new chief executive officer or designated agent required to be filed under this Part, shall be filed with the Commission at its Springfield office. </w:t>
      </w:r>
    </w:p>
    <w:p w:rsidR="00A67DBA" w:rsidRDefault="00A67DBA" w:rsidP="00A67DBA">
      <w:pPr>
        <w:widowControl w:val="0"/>
        <w:autoSpaceDE w:val="0"/>
        <w:autoSpaceDN w:val="0"/>
        <w:adjustRightInd w:val="0"/>
      </w:pPr>
    </w:p>
    <w:p w:rsidR="00A67DBA" w:rsidRDefault="00A67DBA" w:rsidP="00A67DBA">
      <w:pPr>
        <w:widowControl w:val="0"/>
        <w:autoSpaceDE w:val="0"/>
        <w:autoSpaceDN w:val="0"/>
        <w:adjustRightInd w:val="0"/>
        <w:ind w:left="1440" w:hanging="720"/>
      </w:pPr>
      <w:r>
        <w:t xml:space="preserve">(Source:  Amended at 25 Ill. Reg. 14840, effective November 1, 2001) </w:t>
      </w:r>
    </w:p>
    <w:sectPr w:rsidR="00A67DBA" w:rsidSect="00A67D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DBA"/>
    <w:rsid w:val="0032078E"/>
    <w:rsid w:val="00547277"/>
    <w:rsid w:val="005C3366"/>
    <w:rsid w:val="006F55A7"/>
    <w:rsid w:val="00A6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