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DA" w:rsidRDefault="00D10CDA" w:rsidP="00D10C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0CDA" w:rsidRDefault="00D10CDA" w:rsidP="00D10CDA">
      <w:pPr>
        <w:widowControl w:val="0"/>
        <w:autoSpaceDE w:val="0"/>
        <w:autoSpaceDN w:val="0"/>
        <w:adjustRightInd w:val="0"/>
      </w:pPr>
      <w:r>
        <w:t>SOURCE:  Effective May 1, 1969; codified at 8 Ill. Reg. 7601; amended at 17 Ill. Reg. 98, effective January 1, 1993</w:t>
      </w:r>
      <w:r w:rsidR="00C0636B">
        <w:t>; expedited correction at 17 Ill. Reg. 3902, effective January 1, 1993</w:t>
      </w:r>
      <w:r>
        <w:t xml:space="preserve">. </w:t>
      </w:r>
    </w:p>
    <w:sectPr w:rsidR="00D10CDA" w:rsidSect="00D10C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0CDA"/>
    <w:rsid w:val="001939F0"/>
    <w:rsid w:val="005C3366"/>
    <w:rsid w:val="00C0636B"/>
    <w:rsid w:val="00D10CDA"/>
    <w:rsid w:val="00FC6366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Effective May 1, 1969; codified at 8 Ill</vt:lpstr>
    </vt:vector>
  </TitlesOfParts>
  <Company>State of Illinois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Effective May 1, 1969; codified at 8 Ill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