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2F" w:rsidRPr="00C11185" w:rsidRDefault="005B5E2F" w:rsidP="00C62B16">
      <w:pPr>
        <w:suppressAutoHyphens/>
        <w:spacing w:line="240" w:lineRule="atLeast"/>
        <w:rPr>
          <w:b/>
        </w:rPr>
      </w:pPr>
      <w:bookmarkStart w:id="0" w:name="_GoBack"/>
      <w:bookmarkEnd w:id="0"/>
      <w:r w:rsidRPr="00C11185">
        <w:rPr>
          <w:b/>
        </w:rPr>
        <w:t xml:space="preserve">Section 285.3310  Schedule C-29: Decommissioning Expense </w:t>
      </w:r>
      <w:r w:rsidR="000E329F">
        <w:rPr>
          <w:b/>
        </w:rPr>
        <w:t>–</w:t>
      </w:r>
      <w:r w:rsidRPr="00C11185">
        <w:rPr>
          <w:b/>
        </w:rPr>
        <w:t xml:space="preserve"> Electric Utilities with Nuclear Facilities</w:t>
      </w:r>
    </w:p>
    <w:p w:rsidR="005B5E2F" w:rsidRPr="005B5E2F" w:rsidRDefault="005B5E2F" w:rsidP="00C62B16"/>
    <w:p w:rsidR="005B5E2F" w:rsidRDefault="005B5E2F" w:rsidP="00C62B16">
      <w:r w:rsidRPr="005B5E2F">
        <w:t>Provide a comparison of revenues and decommissioning expense included within the pro forma jurisdictional operating income at proposed rates reflected on Schedule C-1. Information provided shall include:</w:t>
      </w:r>
    </w:p>
    <w:p w:rsidR="004F21E3" w:rsidRPr="005B5E2F" w:rsidRDefault="004F21E3" w:rsidP="00C62B16"/>
    <w:p w:rsidR="005B5E2F" w:rsidRPr="005B5E2F" w:rsidRDefault="005B5E2F" w:rsidP="00C62B16">
      <w:pPr>
        <w:ind w:firstLine="720"/>
      </w:pPr>
      <w:r w:rsidRPr="005B5E2F">
        <w:t>a)</w:t>
      </w:r>
      <w:r w:rsidRPr="005B5E2F">
        <w:tab/>
        <w:t>Test year revenues realized from the decommissioning rider; and</w:t>
      </w:r>
    </w:p>
    <w:p w:rsidR="004F21E3" w:rsidRDefault="004F21E3" w:rsidP="00C62B16">
      <w:pPr>
        <w:ind w:firstLine="720"/>
      </w:pPr>
    </w:p>
    <w:p w:rsidR="005B5E2F" w:rsidRPr="005B5E2F" w:rsidRDefault="005B5E2F" w:rsidP="00C62B16">
      <w:pPr>
        <w:ind w:firstLine="720"/>
      </w:pPr>
      <w:r w:rsidRPr="005B5E2F">
        <w:t>b)</w:t>
      </w:r>
      <w:r w:rsidRPr="005B5E2F">
        <w:tab/>
        <w:t>Test year decommissioning expense.</w:t>
      </w:r>
    </w:p>
    <w:p w:rsidR="00EB424E" w:rsidRPr="005B5E2F" w:rsidRDefault="00EB424E" w:rsidP="00C62B16"/>
    <w:sectPr w:rsidR="00EB424E" w:rsidRPr="005B5E2F" w:rsidSect="00C62B16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44C1">
      <w:r>
        <w:separator/>
      </w:r>
    </w:p>
  </w:endnote>
  <w:endnote w:type="continuationSeparator" w:id="0">
    <w:p w:rsidR="00000000" w:rsidRDefault="00EB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44C1">
      <w:r>
        <w:separator/>
      </w:r>
    </w:p>
  </w:footnote>
  <w:footnote w:type="continuationSeparator" w:id="0">
    <w:p w:rsidR="00000000" w:rsidRDefault="00EB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0E329F"/>
    <w:rsid w:val="001C7D95"/>
    <w:rsid w:val="001E3074"/>
    <w:rsid w:val="00225354"/>
    <w:rsid w:val="002524EC"/>
    <w:rsid w:val="002A643F"/>
    <w:rsid w:val="00337CEB"/>
    <w:rsid w:val="00367A2E"/>
    <w:rsid w:val="003D0E66"/>
    <w:rsid w:val="003F3A28"/>
    <w:rsid w:val="003F5FD7"/>
    <w:rsid w:val="00431CFE"/>
    <w:rsid w:val="0044215B"/>
    <w:rsid w:val="004D73D3"/>
    <w:rsid w:val="004F21E3"/>
    <w:rsid w:val="005001C5"/>
    <w:rsid w:val="0052308E"/>
    <w:rsid w:val="00530BE1"/>
    <w:rsid w:val="00542E97"/>
    <w:rsid w:val="0056157E"/>
    <w:rsid w:val="0056501E"/>
    <w:rsid w:val="005B5E2F"/>
    <w:rsid w:val="006A211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C11185"/>
    <w:rsid w:val="00C4537A"/>
    <w:rsid w:val="00C62B16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EB44C1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