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5C" w:rsidRDefault="001F0E5C" w:rsidP="001F0E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E5C" w:rsidRDefault="001F0E5C" w:rsidP="001F0E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335.100  Access to Confidential Contracts</w:t>
      </w:r>
      <w:r>
        <w:t xml:space="preserve"> </w:t>
      </w:r>
    </w:p>
    <w:p w:rsidR="001F0E5C" w:rsidRDefault="001F0E5C" w:rsidP="001F0E5C">
      <w:pPr>
        <w:widowControl w:val="0"/>
        <w:autoSpaceDE w:val="0"/>
        <w:autoSpaceDN w:val="0"/>
        <w:adjustRightInd w:val="0"/>
      </w:pPr>
    </w:p>
    <w:p w:rsidR="001F0E5C" w:rsidRDefault="001F0E5C" w:rsidP="001F0E5C">
      <w:pPr>
        <w:widowControl w:val="0"/>
        <w:autoSpaceDE w:val="0"/>
        <w:autoSpaceDN w:val="0"/>
        <w:adjustRightInd w:val="0"/>
      </w:pPr>
      <w:r>
        <w:t xml:space="preserve">The Attorney General of the State of Illinois, the Citizens Utility Board (see 220 </w:t>
      </w:r>
      <w:proofErr w:type="spellStart"/>
      <w:r>
        <w:t>ILCS</w:t>
      </w:r>
      <w:proofErr w:type="spellEnd"/>
      <w:r>
        <w:t xml:space="preserve"> 10), and the Office of Public Counsel (see 220 </w:t>
      </w:r>
      <w:proofErr w:type="spellStart"/>
      <w:r>
        <w:t>ILCS</w:t>
      </w:r>
      <w:proofErr w:type="spellEnd"/>
      <w:r>
        <w:t xml:space="preserve"> 5/11-201) are authorized agencies ("authorized agency") by Section 9-102.1(d) of the Act and have access to those contracts for the provision of utility services filed by public utilities on a confidential or proprietary basis pursuant to Section 9-102.1(a) of the Act. </w:t>
      </w:r>
    </w:p>
    <w:sectPr w:rsidR="001F0E5C" w:rsidSect="001F0E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E5C"/>
    <w:rsid w:val="001F0E5C"/>
    <w:rsid w:val="004908AB"/>
    <w:rsid w:val="005C3366"/>
    <w:rsid w:val="009D6CD2"/>
    <w:rsid w:val="00E5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