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0C9" w:rsidRDefault="001520C9" w:rsidP="001520C9">
      <w:pPr>
        <w:widowControl w:val="0"/>
        <w:autoSpaceDE w:val="0"/>
        <w:autoSpaceDN w:val="0"/>
        <w:adjustRightInd w:val="0"/>
      </w:pPr>
      <w:bookmarkStart w:id="0" w:name="_GoBack"/>
      <w:bookmarkEnd w:id="0"/>
    </w:p>
    <w:p w:rsidR="001520C9" w:rsidRDefault="001520C9" w:rsidP="001520C9">
      <w:pPr>
        <w:widowControl w:val="0"/>
        <w:autoSpaceDE w:val="0"/>
        <w:autoSpaceDN w:val="0"/>
        <w:adjustRightInd w:val="0"/>
      </w:pPr>
      <w:r>
        <w:rPr>
          <w:b/>
          <w:bCs/>
        </w:rPr>
        <w:t>Section 425.30  Fuel Adjustment Formula</w:t>
      </w:r>
      <w:r>
        <w:t xml:space="preserve"> </w:t>
      </w:r>
    </w:p>
    <w:p w:rsidR="001520C9" w:rsidRDefault="001520C9" w:rsidP="001520C9">
      <w:pPr>
        <w:widowControl w:val="0"/>
        <w:autoSpaceDE w:val="0"/>
        <w:autoSpaceDN w:val="0"/>
        <w:adjustRightInd w:val="0"/>
      </w:pPr>
    </w:p>
    <w:p w:rsidR="001520C9" w:rsidRDefault="001520C9" w:rsidP="001520C9">
      <w:pPr>
        <w:widowControl w:val="0"/>
        <w:autoSpaceDE w:val="0"/>
        <w:autoSpaceDN w:val="0"/>
        <w:adjustRightInd w:val="0"/>
      </w:pPr>
      <w:r>
        <w:t xml:space="preserve">The fuel adjustment clause shall be of the following form: </w:t>
      </w:r>
    </w:p>
    <w:p w:rsidR="001520C9" w:rsidRDefault="001520C9" w:rsidP="001520C9">
      <w:pPr>
        <w:widowControl w:val="0"/>
        <w:autoSpaceDE w:val="0"/>
        <w:autoSpaceDN w:val="0"/>
        <w:adjustRightInd w:val="0"/>
      </w:pPr>
    </w:p>
    <w:tbl>
      <w:tblPr>
        <w:tblW w:w="0" w:type="auto"/>
        <w:tblInd w:w="1818" w:type="dxa"/>
        <w:tblLayout w:type="fixed"/>
        <w:tblLook w:val="0000" w:firstRow="0" w:lastRow="0" w:firstColumn="0" w:lastColumn="0" w:noHBand="0" w:noVBand="0"/>
      </w:tblPr>
      <w:tblGrid>
        <w:gridCol w:w="733"/>
        <w:gridCol w:w="236"/>
        <w:gridCol w:w="2907"/>
        <w:gridCol w:w="3135"/>
      </w:tblGrid>
      <w:tr w:rsidR="009A3DE9">
        <w:tblPrEx>
          <w:tblCellMar>
            <w:top w:w="0" w:type="dxa"/>
            <w:bottom w:w="0" w:type="dxa"/>
          </w:tblCellMar>
        </w:tblPrEx>
        <w:tc>
          <w:tcPr>
            <w:tcW w:w="733" w:type="dxa"/>
            <w:vMerge w:val="restart"/>
            <w:vAlign w:val="center"/>
          </w:tcPr>
          <w:p w:rsidR="009A3DE9" w:rsidRDefault="009A3DE9" w:rsidP="001520C9">
            <w:pPr>
              <w:widowControl w:val="0"/>
              <w:autoSpaceDE w:val="0"/>
              <w:autoSpaceDN w:val="0"/>
              <w:adjustRightInd w:val="0"/>
            </w:pPr>
            <w:r>
              <w:t>FAC</w:t>
            </w:r>
          </w:p>
        </w:tc>
        <w:tc>
          <w:tcPr>
            <w:tcW w:w="236" w:type="dxa"/>
            <w:vMerge w:val="restart"/>
            <w:vAlign w:val="center"/>
          </w:tcPr>
          <w:p w:rsidR="009A3DE9" w:rsidRDefault="009A3DE9" w:rsidP="009A3DE9">
            <w:pPr>
              <w:widowControl w:val="0"/>
              <w:autoSpaceDE w:val="0"/>
              <w:autoSpaceDN w:val="0"/>
              <w:adjustRightInd w:val="0"/>
              <w:ind w:left="-132" w:right="-90"/>
              <w:jc w:val="center"/>
            </w:pPr>
            <w:r>
              <w:t>=</w:t>
            </w:r>
          </w:p>
        </w:tc>
        <w:tc>
          <w:tcPr>
            <w:tcW w:w="2907" w:type="dxa"/>
            <w:tcBorders>
              <w:bottom w:val="single" w:sz="4" w:space="0" w:color="auto"/>
            </w:tcBorders>
          </w:tcPr>
          <w:p w:rsidR="009A3DE9" w:rsidRPr="009A3DE9" w:rsidRDefault="009A3DE9" w:rsidP="009A3DE9">
            <w:pPr>
              <w:widowControl w:val="0"/>
              <w:autoSpaceDE w:val="0"/>
              <w:autoSpaceDN w:val="0"/>
              <w:adjustRightInd w:val="0"/>
              <w:jc w:val="center"/>
            </w:pPr>
            <w:r w:rsidRPr="009A3DE9">
              <w:t>(CF + CPP - CNS) X 100</w:t>
            </w:r>
          </w:p>
        </w:tc>
        <w:tc>
          <w:tcPr>
            <w:tcW w:w="3135" w:type="dxa"/>
            <w:vMerge w:val="restart"/>
            <w:vAlign w:val="center"/>
          </w:tcPr>
          <w:p w:rsidR="009A3DE9" w:rsidRDefault="009A3DE9" w:rsidP="009A3DE9">
            <w:pPr>
              <w:widowControl w:val="0"/>
              <w:autoSpaceDE w:val="0"/>
              <w:autoSpaceDN w:val="0"/>
              <w:adjustRightInd w:val="0"/>
              <w:ind w:left="-36"/>
              <w:rPr>
                <w:u w:val="single"/>
              </w:rPr>
            </w:pPr>
            <w:r>
              <w:t>- BFC + Ra + Ro + D</w:t>
            </w:r>
          </w:p>
        </w:tc>
      </w:tr>
      <w:tr w:rsidR="009A3DE9">
        <w:tblPrEx>
          <w:tblCellMar>
            <w:top w:w="0" w:type="dxa"/>
            <w:bottom w:w="0" w:type="dxa"/>
          </w:tblCellMar>
        </w:tblPrEx>
        <w:tc>
          <w:tcPr>
            <w:tcW w:w="733" w:type="dxa"/>
            <w:vMerge/>
          </w:tcPr>
          <w:p w:rsidR="009A3DE9" w:rsidRDefault="009A3DE9" w:rsidP="001520C9">
            <w:pPr>
              <w:widowControl w:val="0"/>
              <w:autoSpaceDE w:val="0"/>
              <w:autoSpaceDN w:val="0"/>
              <w:adjustRightInd w:val="0"/>
            </w:pPr>
          </w:p>
        </w:tc>
        <w:tc>
          <w:tcPr>
            <w:tcW w:w="236" w:type="dxa"/>
            <w:vMerge/>
          </w:tcPr>
          <w:p w:rsidR="009A3DE9" w:rsidRDefault="009A3DE9" w:rsidP="001520C9">
            <w:pPr>
              <w:widowControl w:val="0"/>
              <w:autoSpaceDE w:val="0"/>
              <w:autoSpaceDN w:val="0"/>
              <w:adjustRightInd w:val="0"/>
            </w:pPr>
          </w:p>
        </w:tc>
        <w:tc>
          <w:tcPr>
            <w:tcW w:w="2907" w:type="dxa"/>
            <w:tcBorders>
              <w:top w:val="single" w:sz="4" w:space="0" w:color="auto"/>
            </w:tcBorders>
          </w:tcPr>
          <w:p w:rsidR="009A3DE9" w:rsidRDefault="009A3DE9" w:rsidP="009A3DE9">
            <w:pPr>
              <w:widowControl w:val="0"/>
              <w:autoSpaceDE w:val="0"/>
              <w:autoSpaceDN w:val="0"/>
              <w:adjustRightInd w:val="0"/>
              <w:jc w:val="center"/>
            </w:pPr>
            <w:r>
              <w:t>S</w:t>
            </w:r>
          </w:p>
        </w:tc>
        <w:tc>
          <w:tcPr>
            <w:tcW w:w="3135" w:type="dxa"/>
            <w:vMerge/>
          </w:tcPr>
          <w:p w:rsidR="009A3DE9" w:rsidRDefault="009A3DE9" w:rsidP="001520C9">
            <w:pPr>
              <w:widowControl w:val="0"/>
              <w:autoSpaceDE w:val="0"/>
              <w:autoSpaceDN w:val="0"/>
              <w:adjustRightInd w:val="0"/>
            </w:pPr>
          </w:p>
        </w:tc>
      </w:tr>
    </w:tbl>
    <w:p w:rsidR="009A3DE9" w:rsidRDefault="009A3DE9" w:rsidP="001520C9">
      <w:pPr>
        <w:widowControl w:val="0"/>
        <w:autoSpaceDE w:val="0"/>
        <w:autoSpaceDN w:val="0"/>
        <w:adjustRightInd w:val="0"/>
      </w:pPr>
    </w:p>
    <w:p w:rsidR="009A3DE9" w:rsidRDefault="009A3DE9" w:rsidP="009A3DE9">
      <w:pPr>
        <w:widowControl w:val="0"/>
        <w:autoSpaceDE w:val="0"/>
        <w:autoSpaceDN w:val="0"/>
        <w:adjustRightInd w:val="0"/>
        <w:ind w:left="741"/>
      </w:pPr>
      <w:r>
        <w:t xml:space="preserve">where: </w:t>
      </w:r>
    </w:p>
    <w:p w:rsidR="009A3DE9" w:rsidRDefault="009A3DE9" w:rsidP="001520C9">
      <w:pPr>
        <w:widowControl w:val="0"/>
        <w:autoSpaceDE w:val="0"/>
        <w:autoSpaceDN w:val="0"/>
        <w:adjustRightInd w:val="0"/>
      </w:pPr>
    </w:p>
    <w:tbl>
      <w:tblPr>
        <w:tblW w:w="0" w:type="auto"/>
        <w:tblInd w:w="1362" w:type="dxa"/>
        <w:tblLook w:val="0000" w:firstRow="0" w:lastRow="0" w:firstColumn="0" w:lastColumn="0" w:noHBand="0" w:noVBand="0"/>
      </w:tblPr>
      <w:tblGrid>
        <w:gridCol w:w="741"/>
        <w:gridCol w:w="352"/>
        <w:gridCol w:w="7121"/>
      </w:tblGrid>
      <w:tr w:rsidR="009A3DE9">
        <w:tblPrEx>
          <w:tblCellMar>
            <w:top w:w="0" w:type="dxa"/>
            <w:bottom w:w="0" w:type="dxa"/>
          </w:tblCellMar>
        </w:tblPrEx>
        <w:tc>
          <w:tcPr>
            <w:tcW w:w="741" w:type="dxa"/>
          </w:tcPr>
          <w:p w:rsidR="009A3DE9" w:rsidRDefault="009A3DE9" w:rsidP="001520C9">
            <w:pPr>
              <w:widowControl w:val="0"/>
              <w:autoSpaceDE w:val="0"/>
              <w:autoSpaceDN w:val="0"/>
              <w:adjustRightInd w:val="0"/>
            </w:pPr>
            <w:r>
              <w:t>FAC</w:t>
            </w:r>
          </w:p>
        </w:tc>
        <w:tc>
          <w:tcPr>
            <w:tcW w:w="352" w:type="dxa"/>
          </w:tcPr>
          <w:p w:rsidR="009A3DE9" w:rsidRDefault="009A3DE9" w:rsidP="001520C9">
            <w:pPr>
              <w:widowControl w:val="0"/>
              <w:autoSpaceDE w:val="0"/>
              <w:autoSpaceDN w:val="0"/>
              <w:adjustRightInd w:val="0"/>
            </w:pPr>
            <w:r>
              <w:t>=</w:t>
            </w:r>
          </w:p>
        </w:tc>
        <w:tc>
          <w:tcPr>
            <w:tcW w:w="7121" w:type="dxa"/>
          </w:tcPr>
          <w:p w:rsidR="009A3DE9" w:rsidRDefault="009A3DE9" w:rsidP="001520C9">
            <w:pPr>
              <w:widowControl w:val="0"/>
              <w:autoSpaceDE w:val="0"/>
              <w:autoSpaceDN w:val="0"/>
              <w:adjustRightInd w:val="0"/>
            </w:pPr>
            <w:r>
              <w:t xml:space="preserve">Fuel adjustment charge per KWH. The amount in cents per KWH, rounded to the nearest .001¢, to be charged for each applicable KWH billed or delivered in the billing period, in excess of that amount included in Base Fuel Costs. The FAC is subject to refunds or increases due to </w:t>
            </w:r>
            <w:proofErr w:type="spellStart"/>
            <w:r>
              <w:t>overcollection</w:t>
            </w:r>
            <w:proofErr w:type="spellEnd"/>
            <w:r>
              <w:t xml:space="preserve"> or </w:t>
            </w:r>
            <w:proofErr w:type="spellStart"/>
            <w:r>
              <w:t>undercollection</w:t>
            </w:r>
            <w:proofErr w:type="spellEnd"/>
            <w:r>
              <w:t xml:space="preserve">, depending on the results of the automatic reconciliation factor (Ra) and the ordered reconciliation factor (Ro) as defined under Section 425.50 "Administration". </w:t>
            </w:r>
          </w:p>
        </w:tc>
      </w:tr>
      <w:tr w:rsidR="00461097">
        <w:tblPrEx>
          <w:tblCellMar>
            <w:top w:w="0" w:type="dxa"/>
            <w:bottom w:w="0" w:type="dxa"/>
          </w:tblCellMar>
        </w:tblPrEx>
        <w:tc>
          <w:tcPr>
            <w:tcW w:w="741" w:type="dxa"/>
          </w:tcPr>
          <w:p w:rsidR="00461097" w:rsidRDefault="00461097" w:rsidP="001520C9">
            <w:pPr>
              <w:widowControl w:val="0"/>
              <w:autoSpaceDE w:val="0"/>
              <w:autoSpaceDN w:val="0"/>
              <w:adjustRightInd w:val="0"/>
            </w:pPr>
          </w:p>
        </w:tc>
        <w:tc>
          <w:tcPr>
            <w:tcW w:w="352" w:type="dxa"/>
          </w:tcPr>
          <w:p w:rsidR="00461097" w:rsidRDefault="00461097" w:rsidP="001520C9">
            <w:pPr>
              <w:widowControl w:val="0"/>
              <w:autoSpaceDE w:val="0"/>
              <w:autoSpaceDN w:val="0"/>
              <w:adjustRightInd w:val="0"/>
            </w:pPr>
          </w:p>
        </w:tc>
        <w:tc>
          <w:tcPr>
            <w:tcW w:w="7121" w:type="dxa"/>
          </w:tcPr>
          <w:p w:rsidR="00461097" w:rsidRDefault="00461097" w:rsidP="001520C9">
            <w:pPr>
              <w:widowControl w:val="0"/>
              <w:autoSpaceDE w:val="0"/>
              <w:autoSpaceDN w:val="0"/>
              <w:adjustRightInd w:val="0"/>
            </w:pPr>
          </w:p>
        </w:tc>
      </w:tr>
      <w:tr w:rsidR="009A3DE9">
        <w:tblPrEx>
          <w:tblCellMar>
            <w:top w:w="0" w:type="dxa"/>
            <w:bottom w:w="0" w:type="dxa"/>
          </w:tblCellMar>
        </w:tblPrEx>
        <w:tc>
          <w:tcPr>
            <w:tcW w:w="741" w:type="dxa"/>
          </w:tcPr>
          <w:p w:rsidR="009A3DE9" w:rsidRDefault="009A3DE9" w:rsidP="001520C9">
            <w:pPr>
              <w:widowControl w:val="0"/>
              <w:autoSpaceDE w:val="0"/>
              <w:autoSpaceDN w:val="0"/>
              <w:adjustRightInd w:val="0"/>
            </w:pPr>
            <w:r>
              <w:t>CF</w:t>
            </w:r>
          </w:p>
        </w:tc>
        <w:tc>
          <w:tcPr>
            <w:tcW w:w="352" w:type="dxa"/>
          </w:tcPr>
          <w:p w:rsidR="009A3DE9" w:rsidRDefault="009A3DE9" w:rsidP="001520C9">
            <w:pPr>
              <w:widowControl w:val="0"/>
              <w:autoSpaceDE w:val="0"/>
              <w:autoSpaceDN w:val="0"/>
              <w:adjustRightInd w:val="0"/>
            </w:pPr>
            <w:r>
              <w:t>=</w:t>
            </w:r>
          </w:p>
        </w:tc>
        <w:tc>
          <w:tcPr>
            <w:tcW w:w="7121" w:type="dxa"/>
          </w:tcPr>
          <w:p w:rsidR="009A3DE9" w:rsidRDefault="009A3DE9" w:rsidP="001520C9">
            <w:pPr>
              <w:widowControl w:val="0"/>
              <w:autoSpaceDE w:val="0"/>
              <w:autoSpaceDN w:val="0"/>
              <w:adjustRightInd w:val="0"/>
            </w:pPr>
            <w:r>
              <w:t>Allowable fuel cost associated with company owned generating plants. Fuel cost shall be interpreted in accordance with Section 425.40 "Interpretation" to include all fossil and nuclear fuel to be consumed in the utility's own plants or in plants owned by wholly-owned subsidiaries of the utility and/or the utility's share of fossil and nuclear fuel to be consumed in jointly owned or leased plants during the period for which the FAC is being determined.</w:t>
            </w:r>
          </w:p>
        </w:tc>
      </w:tr>
      <w:tr w:rsidR="00461097">
        <w:tblPrEx>
          <w:tblCellMar>
            <w:top w:w="0" w:type="dxa"/>
            <w:bottom w:w="0" w:type="dxa"/>
          </w:tblCellMar>
        </w:tblPrEx>
        <w:tc>
          <w:tcPr>
            <w:tcW w:w="741" w:type="dxa"/>
          </w:tcPr>
          <w:p w:rsidR="00461097" w:rsidRDefault="00461097" w:rsidP="001520C9">
            <w:pPr>
              <w:widowControl w:val="0"/>
              <w:autoSpaceDE w:val="0"/>
              <w:autoSpaceDN w:val="0"/>
              <w:adjustRightInd w:val="0"/>
            </w:pPr>
          </w:p>
        </w:tc>
        <w:tc>
          <w:tcPr>
            <w:tcW w:w="352" w:type="dxa"/>
          </w:tcPr>
          <w:p w:rsidR="00461097" w:rsidRDefault="00461097" w:rsidP="001520C9">
            <w:pPr>
              <w:widowControl w:val="0"/>
              <w:autoSpaceDE w:val="0"/>
              <w:autoSpaceDN w:val="0"/>
              <w:adjustRightInd w:val="0"/>
            </w:pPr>
          </w:p>
        </w:tc>
        <w:tc>
          <w:tcPr>
            <w:tcW w:w="7121" w:type="dxa"/>
          </w:tcPr>
          <w:p w:rsidR="00461097" w:rsidRDefault="00461097" w:rsidP="001520C9">
            <w:pPr>
              <w:widowControl w:val="0"/>
              <w:autoSpaceDE w:val="0"/>
              <w:autoSpaceDN w:val="0"/>
              <w:adjustRightInd w:val="0"/>
            </w:pPr>
          </w:p>
        </w:tc>
      </w:tr>
      <w:tr w:rsidR="009A3DE9">
        <w:tblPrEx>
          <w:tblCellMar>
            <w:top w:w="0" w:type="dxa"/>
            <w:bottom w:w="0" w:type="dxa"/>
          </w:tblCellMar>
        </w:tblPrEx>
        <w:tc>
          <w:tcPr>
            <w:tcW w:w="741" w:type="dxa"/>
          </w:tcPr>
          <w:p w:rsidR="009A3DE9" w:rsidRDefault="009A3DE9" w:rsidP="001520C9">
            <w:pPr>
              <w:widowControl w:val="0"/>
              <w:autoSpaceDE w:val="0"/>
              <w:autoSpaceDN w:val="0"/>
              <w:adjustRightInd w:val="0"/>
            </w:pPr>
            <w:r>
              <w:t>CPP</w:t>
            </w:r>
          </w:p>
        </w:tc>
        <w:tc>
          <w:tcPr>
            <w:tcW w:w="352" w:type="dxa"/>
          </w:tcPr>
          <w:p w:rsidR="009A3DE9" w:rsidRDefault="009A3DE9" w:rsidP="001520C9">
            <w:pPr>
              <w:widowControl w:val="0"/>
              <w:autoSpaceDE w:val="0"/>
              <w:autoSpaceDN w:val="0"/>
              <w:adjustRightInd w:val="0"/>
            </w:pPr>
            <w:r>
              <w:t>=</w:t>
            </w:r>
          </w:p>
        </w:tc>
        <w:tc>
          <w:tcPr>
            <w:tcW w:w="7121" w:type="dxa"/>
          </w:tcPr>
          <w:p w:rsidR="009A3DE9" w:rsidRDefault="009A3DE9" w:rsidP="001520C9">
            <w:pPr>
              <w:widowControl w:val="0"/>
              <w:autoSpaceDE w:val="0"/>
              <w:autoSpaceDN w:val="0"/>
              <w:adjustRightInd w:val="0"/>
            </w:pPr>
            <w:r>
              <w:t>Allowable energy cost associated with purchased power. Purchased power shall be interpreted to include emergency, contract, and economy purchases. Except for power purchased for economy reasons, only the energy portion of the power to be purchased during the period for which the FAC is being determined is to be included. All other associated charges are specifically excluded. The demand charges for power to be purchased for economy reasons are allowable energy cost.</w:t>
            </w:r>
          </w:p>
        </w:tc>
      </w:tr>
      <w:tr w:rsidR="00461097">
        <w:tblPrEx>
          <w:tblCellMar>
            <w:top w:w="0" w:type="dxa"/>
            <w:bottom w:w="0" w:type="dxa"/>
          </w:tblCellMar>
        </w:tblPrEx>
        <w:tc>
          <w:tcPr>
            <w:tcW w:w="741" w:type="dxa"/>
          </w:tcPr>
          <w:p w:rsidR="00461097" w:rsidRDefault="00461097" w:rsidP="001520C9">
            <w:pPr>
              <w:widowControl w:val="0"/>
              <w:autoSpaceDE w:val="0"/>
              <w:autoSpaceDN w:val="0"/>
              <w:adjustRightInd w:val="0"/>
            </w:pPr>
          </w:p>
        </w:tc>
        <w:tc>
          <w:tcPr>
            <w:tcW w:w="352" w:type="dxa"/>
          </w:tcPr>
          <w:p w:rsidR="00461097" w:rsidRDefault="00461097" w:rsidP="001520C9">
            <w:pPr>
              <w:widowControl w:val="0"/>
              <w:autoSpaceDE w:val="0"/>
              <w:autoSpaceDN w:val="0"/>
              <w:adjustRightInd w:val="0"/>
            </w:pPr>
          </w:p>
        </w:tc>
        <w:tc>
          <w:tcPr>
            <w:tcW w:w="7121" w:type="dxa"/>
          </w:tcPr>
          <w:p w:rsidR="00461097" w:rsidRDefault="00461097" w:rsidP="001520C9">
            <w:pPr>
              <w:widowControl w:val="0"/>
              <w:autoSpaceDE w:val="0"/>
              <w:autoSpaceDN w:val="0"/>
              <w:adjustRightInd w:val="0"/>
            </w:pPr>
          </w:p>
        </w:tc>
      </w:tr>
      <w:tr w:rsidR="009A3DE9">
        <w:tblPrEx>
          <w:tblCellMar>
            <w:top w:w="0" w:type="dxa"/>
            <w:bottom w:w="0" w:type="dxa"/>
          </w:tblCellMar>
        </w:tblPrEx>
        <w:tc>
          <w:tcPr>
            <w:tcW w:w="741" w:type="dxa"/>
          </w:tcPr>
          <w:p w:rsidR="009A3DE9" w:rsidRDefault="009A3DE9" w:rsidP="001520C9">
            <w:pPr>
              <w:widowControl w:val="0"/>
              <w:autoSpaceDE w:val="0"/>
              <w:autoSpaceDN w:val="0"/>
              <w:adjustRightInd w:val="0"/>
            </w:pPr>
            <w:r>
              <w:t>CNS</w:t>
            </w:r>
          </w:p>
        </w:tc>
        <w:tc>
          <w:tcPr>
            <w:tcW w:w="352" w:type="dxa"/>
          </w:tcPr>
          <w:p w:rsidR="009A3DE9" w:rsidRDefault="009A3DE9" w:rsidP="001520C9">
            <w:pPr>
              <w:widowControl w:val="0"/>
              <w:autoSpaceDE w:val="0"/>
              <w:autoSpaceDN w:val="0"/>
              <w:adjustRightInd w:val="0"/>
            </w:pPr>
            <w:r>
              <w:t>=</w:t>
            </w:r>
          </w:p>
        </w:tc>
        <w:tc>
          <w:tcPr>
            <w:tcW w:w="7121" w:type="dxa"/>
          </w:tcPr>
          <w:p w:rsidR="009A3DE9" w:rsidRDefault="009A3DE9" w:rsidP="001520C9">
            <w:pPr>
              <w:widowControl w:val="0"/>
              <w:autoSpaceDE w:val="0"/>
              <w:autoSpaceDN w:val="0"/>
              <w:adjustRightInd w:val="0"/>
            </w:pPr>
            <w:r>
              <w:t>Energy costs associated with sales not subject to FAC. Energy costs associated with non-jurisdictional sales, interdepartmental sales, energy furnished without charge, and other sales not subject to FAC shall be included in factor CNS on the basis of average CNS energy cost during the period for which the FAC is being determined, except in the case of energy costs associated with interchange power sales, and except in the case of energy costs associated with sales made to retail customers as a "competitive service", as that time is defined in Section 16-102 of the Public Utilities Act [220 ILCS 5/16-102]. Energy costs associated with interchange power sales and sales made to retail customers as a competitive service shall be included in factor CNS on an incremental cost basis.</w:t>
            </w:r>
          </w:p>
        </w:tc>
      </w:tr>
      <w:tr w:rsidR="00461097">
        <w:tblPrEx>
          <w:tblCellMar>
            <w:top w:w="0" w:type="dxa"/>
            <w:bottom w:w="0" w:type="dxa"/>
          </w:tblCellMar>
        </w:tblPrEx>
        <w:tc>
          <w:tcPr>
            <w:tcW w:w="741" w:type="dxa"/>
          </w:tcPr>
          <w:p w:rsidR="00461097" w:rsidRDefault="00461097" w:rsidP="001520C9">
            <w:pPr>
              <w:widowControl w:val="0"/>
              <w:autoSpaceDE w:val="0"/>
              <w:autoSpaceDN w:val="0"/>
              <w:adjustRightInd w:val="0"/>
            </w:pPr>
          </w:p>
        </w:tc>
        <w:tc>
          <w:tcPr>
            <w:tcW w:w="352" w:type="dxa"/>
          </w:tcPr>
          <w:p w:rsidR="00461097" w:rsidRDefault="00461097" w:rsidP="001520C9">
            <w:pPr>
              <w:widowControl w:val="0"/>
              <w:autoSpaceDE w:val="0"/>
              <w:autoSpaceDN w:val="0"/>
              <w:adjustRightInd w:val="0"/>
            </w:pPr>
          </w:p>
        </w:tc>
        <w:tc>
          <w:tcPr>
            <w:tcW w:w="7121" w:type="dxa"/>
          </w:tcPr>
          <w:p w:rsidR="00461097" w:rsidRDefault="00461097" w:rsidP="001520C9">
            <w:pPr>
              <w:widowControl w:val="0"/>
              <w:autoSpaceDE w:val="0"/>
              <w:autoSpaceDN w:val="0"/>
              <w:adjustRightInd w:val="0"/>
            </w:pPr>
          </w:p>
        </w:tc>
      </w:tr>
      <w:tr w:rsidR="009A3DE9">
        <w:tblPrEx>
          <w:tblCellMar>
            <w:top w:w="0" w:type="dxa"/>
            <w:bottom w:w="0" w:type="dxa"/>
          </w:tblCellMar>
        </w:tblPrEx>
        <w:tc>
          <w:tcPr>
            <w:tcW w:w="741" w:type="dxa"/>
          </w:tcPr>
          <w:p w:rsidR="009A3DE9" w:rsidRDefault="009A3DE9" w:rsidP="001520C9">
            <w:pPr>
              <w:widowControl w:val="0"/>
              <w:autoSpaceDE w:val="0"/>
              <w:autoSpaceDN w:val="0"/>
              <w:adjustRightInd w:val="0"/>
            </w:pPr>
            <w:r>
              <w:t>S</w:t>
            </w:r>
          </w:p>
        </w:tc>
        <w:tc>
          <w:tcPr>
            <w:tcW w:w="352" w:type="dxa"/>
          </w:tcPr>
          <w:p w:rsidR="009A3DE9" w:rsidRDefault="009A3DE9" w:rsidP="001520C9">
            <w:pPr>
              <w:widowControl w:val="0"/>
              <w:autoSpaceDE w:val="0"/>
              <w:autoSpaceDN w:val="0"/>
              <w:adjustRightInd w:val="0"/>
            </w:pPr>
            <w:r>
              <w:t>=</w:t>
            </w:r>
          </w:p>
        </w:tc>
        <w:tc>
          <w:tcPr>
            <w:tcW w:w="7121" w:type="dxa"/>
          </w:tcPr>
          <w:p w:rsidR="009A3DE9" w:rsidRDefault="00E51AF7" w:rsidP="001520C9">
            <w:pPr>
              <w:widowControl w:val="0"/>
              <w:autoSpaceDE w:val="0"/>
              <w:autoSpaceDN w:val="0"/>
              <w:adjustRightInd w:val="0"/>
            </w:pPr>
            <w:r>
              <w:t xml:space="preserve">Applicable estimated </w:t>
            </w:r>
            <w:proofErr w:type="spellStart"/>
            <w:r>
              <w:t>KWHs</w:t>
            </w:r>
            <w:proofErr w:type="spellEnd"/>
            <w:r>
              <w:t xml:space="preserve"> subject to FAC either to be billed or delivered during the period for which the FAC is being determined.</w:t>
            </w:r>
          </w:p>
        </w:tc>
      </w:tr>
      <w:tr w:rsidR="00461097">
        <w:tblPrEx>
          <w:tblCellMar>
            <w:top w:w="0" w:type="dxa"/>
            <w:bottom w:w="0" w:type="dxa"/>
          </w:tblCellMar>
        </w:tblPrEx>
        <w:tc>
          <w:tcPr>
            <w:tcW w:w="741" w:type="dxa"/>
          </w:tcPr>
          <w:p w:rsidR="00461097" w:rsidRDefault="00461097" w:rsidP="001520C9">
            <w:pPr>
              <w:widowControl w:val="0"/>
              <w:autoSpaceDE w:val="0"/>
              <w:autoSpaceDN w:val="0"/>
              <w:adjustRightInd w:val="0"/>
            </w:pPr>
          </w:p>
        </w:tc>
        <w:tc>
          <w:tcPr>
            <w:tcW w:w="352" w:type="dxa"/>
          </w:tcPr>
          <w:p w:rsidR="00461097" w:rsidRDefault="00461097" w:rsidP="001520C9">
            <w:pPr>
              <w:widowControl w:val="0"/>
              <w:autoSpaceDE w:val="0"/>
              <w:autoSpaceDN w:val="0"/>
              <w:adjustRightInd w:val="0"/>
            </w:pPr>
          </w:p>
        </w:tc>
        <w:tc>
          <w:tcPr>
            <w:tcW w:w="7121" w:type="dxa"/>
          </w:tcPr>
          <w:p w:rsidR="00461097" w:rsidRDefault="00461097" w:rsidP="001520C9">
            <w:pPr>
              <w:widowControl w:val="0"/>
              <w:autoSpaceDE w:val="0"/>
              <w:autoSpaceDN w:val="0"/>
              <w:adjustRightInd w:val="0"/>
            </w:pPr>
          </w:p>
        </w:tc>
      </w:tr>
      <w:tr w:rsidR="009A3DE9">
        <w:tblPrEx>
          <w:tblCellMar>
            <w:top w:w="0" w:type="dxa"/>
            <w:bottom w:w="0" w:type="dxa"/>
          </w:tblCellMar>
        </w:tblPrEx>
        <w:tc>
          <w:tcPr>
            <w:tcW w:w="741" w:type="dxa"/>
          </w:tcPr>
          <w:p w:rsidR="009A3DE9" w:rsidRDefault="009A3DE9" w:rsidP="001520C9">
            <w:pPr>
              <w:widowControl w:val="0"/>
              <w:autoSpaceDE w:val="0"/>
              <w:autoSpaceDN w:val="0"/>
              <w:adjustRightInd w:val="0"/>
            </w:pPr>
            <w:r>
              <w:t>BFC</w:t>
            </w:r>
          </w:p>
        </w:tc>
        <w:tc>
          <w:tcPr>
            <w:tcW w:w="352" w:type="dxa"/>
          </w:tcPr>
          <w:p w:rsidR="009A3DE9" w:rsidRDefault="009A3DE9" w:rsidP="001520C9">
            <w:pPr>
              <w:widowControl w:val="0"/>
              <w:autoSpaceDE w:val="0"/>
              <w:autoSpaceDN w:val="0"/>
              <w:adjustRightInd w:val="0"/>
            </w:pPr>
            <w:r>
              <w:t>=</w:t>
            </w:r>
          </w:p>
        </w:tc>
        <w:tc>
          <w:tcPr>
            <w:tcW w:w="7121" w:type="dxa"/>
          </w:tcPr>
          <w:p w:rsidR="009A3DE9" w:rsidRDefault="00E51AF7" w:rsidP="001520C9">
            <w:pPr>
              <w:widowControl w:val="0"/>
              <w:autoSpaceDE w:val="0"/>
              <w:autoSpaceDN w:val="0"/>
              <w:adjustRightInd w:val="0"/>
            </w:pPr>
            <w:r>
              <w:t>Base fuel cost in cents/KWH.</w:t>
            </w:r>
          </w:p>
        </w:tc>
      </w:tr>
      <w:tr w:rsidR="00461097">
        <w:tblPrEx>
          <w:tblCellMar>
            <w:top w:w="0" w:type="dxa"/>
            <w:bottom w:w="0" w:type="dxa"/>
          </w:tblCellMar>
        </w:tblPrEx>
        <w:tc>
          <w:tcPr>
            <w:tcW w:w="741" w:type="dxa"/>
          </w:tcPr>
          <w:p w:rsidR="00461097" w:rsidRDefault="00461097" w:rsidP="001520C9">
            <w:pPr>
              <w:widowControl w:val="0"/>
              <w:autoSpaceDE w:val="0"/>
              <w:autoSpaceDN w:val="0"/>
              <w:adjustRightInd w:val="0"/>
            </w:pPr>
          </w:p>
        </w:tc>
        <w:tc>
          <w:tcPr>
            <w:tcW w:w="352" w:type="dxa"/>
          </w:tcPr>
          <w:p w:rsidR="00461097" w:rsidRDefault="00461097" w:rsidP="001520C9">
            <w:pPr>
              <w:widowControl w:val="0"/>
              <w:autoSpaceDE w:val="0"/>
              <w:autoSpaceDN w:val="0"/>
              <w:adjustRightInd w:val="0"/>
            </w:pPr>
          </w:p>
        </w:tc>
        <w:tc>
          <w:tcPr>
            <w:tcW w:w="7121" w:type="dxa"/>
          </w:tcPr>
          <w:p w:rsidR="00461097" w:rsidRDefault="00461097" w:rsidP="001520C9">
            <w:pPr>
              <w:widowControl w:val="0"/>
              <w:autoSpaceDE w:val="0"/>
              <w:autoSpaceDN w:val="0"/>
              <w:adjustRightInd w:val="0"/>
            </w:pPr>
          </w:p>
        </w:tc>
      </w:tr>
      <w:tr w:rsidR="009A3DE9">
        <w:tblPrEx>
          <w:tblCellMar>
            <w:top w:w="0" w:type="dxa"/>
            <w:bottom w:w="0" w:type="dxa"/>
          </w:tblCellMar>
        </w:tblPrEx>
        <w:tc>
          <w:tcPr>
            <w:tcW w:w="741" w:type="dxa"/>
          </w:tcPr>
          <w:p w:rsidR="009A3DE9" w:rsidRDefault="009A3DE9" w:rsidP="001520C9">
            <w:pPr>
              <w:widowControl w:val="0"/>
              <w:autoSpaceDE w:val="0"/>
              <w:autoSpaceDN w:val="0"/>
              <w:adjustRightInd w:val="0"/>
            </w:pPr>
            <w:r>
              <w:t>Ra</w:t>
            </w:r>
          </w:p>
        </w:tc>
        <w:tc>
          <w:tcPr>
            <w:tcW w:w="352" w:type="dxa"/>
          </w:tcPr>
          <w:p w:rsidR="009A3DE9" w:rsidRDefault="009A3DE9" w:rsidP="001520C9">
            <w:pPr>
              <w:widowControl w:val="0"/>
              <w:autoSpaceDE w:val="0"/>
              <w:autoSpaceDN w:val="0"/>
              <w:adjustRightInd w:val="0"/>
            </w:pPr>
            <w:r>
              <w:t>=</w:t>
            </w:r>
          </w:p>
        </w:tc>
        <w:tc>
          <w:tcPr>
            <w:tcW w:w="7121" w:type="dxa"/>
          </w:tcPr>
          <w:p w:rsidR="009A3DE9" w:rsidRDefault="00E51AF7" w:rsidP="001520C9">
            <w:pPr>
              <w:widowControl w:val="0"/>
              <w:autoSpaceDE w:val="0"/>
              <w:autoSpaceDN w:val="0"/>
              <w:adjustRightInd w:val="0"/>
            </w:pPr>
            <w:r>
              <w:t>Automatic Reconciliation factor in cents/KWH.</w:t>
            </w:r>
          </w:p>
        </w:tc>
      </w:tr>
      <w:tr w:rsidR="00461097">
        <w:tblPrEx>
          <w:tblCellMar>
            <w:top w:w="0" w:type="dxa"/>
            <w:bottom w:w="0" w:type="dxa"/>
          </w:tblCellMar>
        </w:tblPrEx>
        <w:tc>
          <w:tcPr>
            <w:tcW w:w="741" w:type="dxa"/>
          </w:tcPr>
          <w:p w:rsidR="00461097" w:rsidRDefault="00461097" w:rsidP="001520C9">
            <w:pPr>
              <w:widowControl w:val="0"/>
              <w:autoSpaceDE w:val="0"/>
              <w:autoSpaceDN w:val="0"/>
              <w:adjustRightInd w:val="0"/>
            </w:pPr>
          </w:p>
        </w:tc>
        <w:tc>
          <w:tcPr>
            <w:tcW w:w="352" w:type="dxa"/>
          </w:tcPr>
          <w:p w:rsidR="00461097" w:rsidRDefault="00461097" w:rsidP="001520C9">
            <w:pPr>
              <w:widowControl w:val="0"/>
              <w:autoSpaceDE w:val="0"/>
              <w:autoSpaceDN w:val="0"/>
              <w:adjustRightInd w:val="0"/>
            </w:pPr>
          </w:p>
        </w:tc>
        <w:tc>
          <w:tcPr>
            <w:tcW w:w="7121" w:type="dxa"/>
          </w:tcPr>
          <w:p w:rsidR="00461097" w:rsidRDefault="00461097" w:rsidP="001520C9">
            <w:pPr>
              <w:widowControl w:val="0"/>
              <w:autoSpaceDE w:val="0"/>
              <w:autoSpaceDN w:val="0"/>
              <w:adjustRightInd w:val="0"/>
            </w:pPr>
          </w:p>
        </w:tc>
      </w:tr>
      <w:tr w:rsidR="009A3DE9">
        <w:tblPrEx>
          <w:tblCellMar>
            <w:top w:w="0" w:type="dxa"/>
            <w:bottom w:w="0" w:type="dxa"/>
          </w:tblCellMar>
        </w:tblPrEx>
        <w:tc>
          <w:tcPr>
            <w:tcW w:w="741" w:type="dxa"/>
          </w:tcPr>
          <w:p w:rsidR="009A3DE9" w:rsidRDefault="009A3DE9" w:rsidP="001520C9">
            <w:pPr>
              <w:widowControl w:val="0"/>
              <w:autoSpaceDE w:val="0"/>
              <w:autoSpaceDN w:val="0"/>
              <w:adjustRightInd w:val="0"/>
            </w:pPr>
            <w:r>
              <w:t>Ro</w:t>
            </w:r>
          </w:p>
        </w:tc>
        <w:tc>
          <w:tcPr>
            <w:tcW w:w="352" w:type="dxa"/>
          </w:tcPr>
          <w:p w:rsidR="009A3DE9" w:rsidRDefault="009A3DE9" w:rsidP="001520C9">
            <w:pPr>
              <w:widowControl w:val="0"/>
              <w:autoSpaceDE w:val="0"/>
              <w:autoSpaceDN w:val="0"/>
              <w:adjustRightInd w:val="0"/>
            </w:pPr>
            <w:r>
              <w:t>=</w:t>
            </w:r>
          </w:p>
        </w:tc>
        <w:tc>
          <w:tcPr>
            <w:tcW w:w="7121" w:type="dxa"/>
          </w:tcPr>
          <w:p w:rsidR="009A3DE9" w:rsidRDefault="00E51AF7" w:rsidP="001520C9">
            <w:pPr>
              <w:widowControl w:val="0"/>
              <w:autoSpaceDE w:val="0"/>
              <w:autoSpaceDN w:val="0"/>
              <w:adjustRightInd w:val="0"/>
            </w:pPr>
            <w:r>
              <w:t>Ordered Reconciliation factor in cents/KWH.</w:t>
            </w:r>
          </w:p>
        </w:tc>
      </w:tr>
      <w:tr w:rsidR="00461097">
        <w:tblPrEx>
          <w:tblCellMar>
            <w:top w:w="0" w:type="dxa"/>
            <w:bottom w:w="0" w:type="dxa"/>
          </w:tblCellMar>
        </w:tblPrEx>
        <w:tc>
          <w:tcPr>
            <w:tcW w:w="741" w:type="dxa"/>
          </w:tcPr>
          <w:p w:rsidR="00461097" w:rsidRDefault="00461097" w:rsidP="001520C9">
            <w:pPr>
              <w:widowControl w:val="0"/>
              <w:autoSpaceDE w:val="0"/>
              <w:autoSpaceDN w:val="0"/>
              <w:adjustRightInd w:val="0"/>
            </w:pPr>
          </w:p>
        </w:tc>
        <w:tc>
          <w:tcPr>
            <w:tcW w:w="352" w:type="dxa"/>
          </w:tcPr>
          <w:p w:rsidR="00461097" w:rsidRDefault="00461097" w:rsidP="001520C9">
            <w:pPr>
              <w:widowControl w:val="0"/>
              <w:autoSpaceDE w:val="0"/>
              <w:autoSpaceDN w:val="0"/>
              <w:adjustRightInd w:val="0"/>
            </w:pPr>
          </w:p>
        </w:tc>
        <w:tc>
          <w:tcPr>
            <w:tcW w:w="7121" w:type="dxa"/>
          </w:tcPr>
          <w:p w:rsidR="00461097" w:rsidRDefault="00461097" w:rsidP="001520C9">
            <w:pPr>
              <w:widowControl w:val="0"/>
              <w:autoSpaceDE w:val="0"/>
              <w:autoSpaceDN w:val="0"/>
              <w:adjustRightInd w:val="0"/>
            </w:pPr>
          </w:p>
        </w:tc>
      </w:tr>
      <w:tr w:rsidR="009A3DE9">
        <w:tblPrEx>
          <w:tblCellMar>
            <w:top w:w="0" w:type="dxa"/>
            <w:bottom w:w="0" w:type="dxa"/>
          </w:tblCellMar>
        </w:tblPrEx>
        <w:tc>
          <w:tcPr>
            <w:tcW w:w="741" w:type="dxa"/>
          </w:tcPr>
          <w:p w:rsidR="009A3DE9" w:rsidRDefault="009A3DE9" w:rsidP="001520C9">
            <w:pPr>
              <w:widowControl w:val="0"/>
              <w:autoSpaceDE w:val="0"/>
              <w:autoSpaceDN w:val="0"/>
              <w:adjustRightInd w:val="0"/>
            </w:pPr>
            <w:r>
              <w:t>D</w:t>
            </w:r>
          </w:p>
        </w:tc>
        <w:tc>
          <w:tcPr>
            <w:tcW w:w="352" w:type="dxa"/>
          </w:tcPr>
          <w:p w:rsidR="009A3DE9" w:rsidRDefault="009A3DE9" w:rsidP="001520C9">
            <w:pPr>
              <w:widowControl w:val="0"/>
              <w:autoSpaceDE w:val="0"/>
              <w:autoSpaceDN w:val="0"/>
              <w:adjustRightInd w:val="0"/>
            </w:pPr>
            <w:r>
              <w:t>=</w:t>
            </w:r>
          </w:p>
        </w:tc>
        <w:tc>
          <w:tcPr>
            <w:tcW w:w="7121" w:type="dxa"/>
          </w:tcPr>
          <w:p w:rsidR="009A3DE9" w:rsidRDefault="00E51AF7" w:rsidP="001520C9">
            <w:pPr>
              <w:widowControl w:val="0"/>
              <w:autoSpaceDE w:val="0"/>
              <w:autoSpaceDN w:val="0"/>
              <w:adjustRightInd w:val="0"/>
            </w:pPr>
            <w:r>
              <w:t>Desulfurization fee in cents/KWH.</w:t>
            </w:r>
          </w:p>
        </w:tc>
      </w:tr>
    </w:tbl>
    <w:p w:rsidR="001520C9" w:rsidRDefault="001520C9" w:rsidP="001520C9">
      <w:pPr>
        <w:widowControl w:val="0"/>
        <w:autoSpaceDE w:val="0"/>
        <w:autoSpaceDN w:val="0"/>
        <w:adjustRightInd w:val="0"/>
      </w:pPr>
    </w:p>
    <w:p w:rsidR="001520C9" w:rsidRDefault="001520C9" w:rsidP="001520C9">
      <w:pPr>
        <w:widowControl w:val="0"/>
        <w:autoSpaceDE w:val="0"/>
        <w:autoSpaceDN w:val="0"/>
        <w:adjustRightInd w:val="0"/>
        <w:ind w:left="1440" w:hanging="720"/>
      </w:pPr>
      <w:r>
        <w:t xml:space="preserve">(Source:  Amended at 25 Ill. Reg. 10182, effective August 1, 2001) </w:t>
      </w:r>
    </w:p>
    <w:sectPr w:rsidR="001520C9" w:rsidSect="001520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20C9"/>
    <w:rsid w:val="00050480"/>
    <w:rsid w:val="001520C9"/>
    <w:rsid w:val="0021409E"/>
    <w:rsid w:val="00461097"/>
    <w:rsid w:val="0057575E"/>
    <w:rsid w:val="005C3366"/>
    <w:rsid w:val="009A3DE9"/>
    <w:rsid w:val="00E51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425</vt:lpstr>
    </vt:vector>
  </TitlesOfParts>
  <Company>State of Illinois</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425</dc:title>
  <dc:subject/>
  <dc:creator>Illinois General Assembly</dc:creator>
  <cp:keywords/>
  <dc:description/>
  <cp:lastModifiedBy>Roberts, John</cp:lastModifiedBy>
  <cp:revision>3</cp:revision>
  <dcterms:created xsi:type="dcterms:W3CDTF">2012-06-21T19:10:00Z</dcterms:created>
  <dcterms:modified xsi:type="dcterms:W3CDTF">2012-06-21T19:10:00Z</dcterms:modified>
</cp:coreProperties>
</file>