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9A" w:rsidRDefault="00AA6C9A" w:rsidP="00AA6C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6C9A" w:rsidRDefault="00AA6C9A" w:rsidP="00AA6C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452.250  Integrated Distribution Company Rate and Price Conditions</w:t>
      </w:r>
      <w:r>
        <w:t xml:space="preserve"> </w:t>
      </w:r>
    </w:p>
    <w:p w:rsidR="00AA6C9A" w:rsidRDefault="00AA6C9A" w:rsidP="00AA6C9A">
      <w:pPr>
        <w:widowControl w:val="0"/>
        <w:autoSpaceDE w:val="0"/>
        <w:autoSpaceDN w:val="0"/>
        <w:adjustRightInd w:val="0"/>
      </w:pPr>
    </w:p>
    <w:p w:rsidR="00AA6C9A" w:rsidRDefault="00AA6C9A" w:rsidP="00AA6C9A">
      <w:pPr>
        <w:widowControl w:val="0"/>
        <w:autoSpaceDE w:val="0"/>
        <w:autoSpaceDN w:val="0"/>
        <w:adjustRightInd w:val="0"/>
      </w:pPr>
      <w:r>
        <w:t xml:space="preserve">An Integrated Distribution Company shall not change its price for any tariffed services allowed in Section 452.230(a) pursuant to Section 16-111(f) of the Act [220 </w:t>
      </w:r>
      <w:proofErr w:type="spellStart"/>
      <w:r>
        <w:t>ILCS</w:t>
      </w:r>
      <w:proofErr w:type="spellEnd"/>
      <w:r>
        <w:t xml:space="preserve"> 5/16-111(f)], but may change prices for services in the manner provided in Article IX of the Act [220 </w:t>
      </w:r>
      <w:proofErr w:type="spellStart"/>
      <w:r>
        <w:t>ILCS</w:t>
      </w:r>
      <w:proofErr w:type="spellEnd"/>
      <w:r>
        <w:t xml:space="preserve"> 5/Art. IX], and as provided in  Section 16-111(a) of the Act [220 </w:t>
      </w:r>
      <w:proofErr w:type="spellStart"/>
      <w:r>
        <w:t>ILCS</w:t>
      </w:r>
      <w:proofErr w:type="spellEnd"/>
      <w:r>
        <w:t xml:space="preserve"> 5/16-111(a)]. </w:t>
      </w:r>
    </w:p>
    <w:sectPr w:rsidR="00AA6C9A" w:rsidSect="00AA6C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C9A"/>
    <w:rsid w:val="00003276"/>
    <w:rsid w:val="002967E4"/>
    <w:rsid w:val="005C3366"/>
    <w:rsid w:val="00AA6C9A"/>
    <w:rsid w:val="00D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