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A0" w:rsidRDefault="001248A0" w:rsidP="001248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48A0" w:rsidRDefault="001248A0" w:rsidP="001248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452.300  Cross-Subsidization</w:t>
      </w:r>
      <w:r>
        <w:t xml:space="preserve"> </w:t>
      </w:r>
    </w:p>
    <w:p w:rsidR="001248A0" w:rsidRDefault="001248A0" w:rsidP="001248A0">
      <w:pPr>
        <w:widowControl w:val="0"/>
        <w:autoSpaceDE w:val="0"/>
        <w:autoSpaceDN w:val="0"/>
        <w:adjustRightInd w:val="0"/>
      </w:pPr>
    </w:p>
    <w:p w:rsidR="001248A0" w:rsidRDefault="001248A0" w:rsidP="001248A0">
      <w:pPr>
        <w:widowControl w:val="0"/>
        <w:autoSpaceDE w:val="0"/>
        <w:autoSpaceDN w:val="0"/>
        <w:adjustRightInd w:val="0"/>
      </w:pPr>
      <w:r>
        <w:t xml:space="preserve">No Integrated Distribution Company shall use public utility business to subsidize non-public utility business. Accordingly, the IDC shall comply with the requirements of the Commission's rules regarding accounting for non-public utility business of electric utilities (83 Ill. Adm. Code 416), the Uniform System of Accounts (83 Ill. Adm. Code 415), and orders of the Commission under Section 7-102 of the Act [220 </w:t>
      </w:r>
      <w:proofErr w:type="spellStart"/>
      <w:r>
        <w:t>ILCS</w:t>
      </w:r>
      <w:proofErr w:type="spellEnd"/>
      <w:r>
        <w:t xml:space="preserve"> 5/7-102] as may be applicable. </w:t>
      </w:r>
    </w:p>
    <w:sectPr w:rsidR="001248A0" w:rsidSect="001248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48A0"/>
    <w:rsid w:val="000A4B32"/>
    <w:rsid w:val="001248A0"/>
    <w:rsid w:val="005C3366"/>
    <w:rsid w:val="00CD2C90"/>
    <w:rsid w:val="00F0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452</vt:lpstr>
    </vt:vector>
  </TitlesOfParts>
  <Company>State of Illinois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452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