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5B" w:rsidRDefault="0062675B" w:rsidP="006267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675B" w:rsidRDefault="0062675B" w:rsidP="006267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505.1740  Account 174</w:t>
      </w:r>
      <w:r>
        <w:t xml:space="preserve"> </w:t>
      </w:r>
    </w:p>
    <w:p w:rsidR="0062675B" w:rsidRDefault="0062675B" w:rsidP="0062675B">
      <w:pPr>
        <w:widowControl w:val="0"/>
        <w:autoSpaceDE w:val="0"/>
        <w:autoSpaceDN w:val="0"/>
        <w:adjustRightInd w:val="0"/>
      </w:pPr>
    </w:p>
    <w:p w:rsidR="0062675B" w:rsidRDefault="0062675B" w:rsidP="0062675B">
      <w:pPr>
        <w:widowControl w:val="0"/>
        <w:autoSpaceDE w:val="0"/>
        <w:autoSpaceDN w:val="0"/>
        <w:adjustRightInd w:val="0"/>
      </w:pPr>
      <w:r>
        <w:t xml:space="preserve">In Account 174, Miscellaneous current and accrued assets, delete the "A" designating the first paragraph as Paragraph A and delete Paragraph B. </w:t>
      </w:r>
    </w:p>
    <w:p w:rsidR="0062675B" w:rsidRDefault="0062675B" w:rsidP="0062675B">
      <w:pPr>
        <w:widowControl w:val="0"/>
        <w:autoSpaceDE w:val="0"/>
        <w:autoSpaceDN w:val="0"/>
        <w:adjustRightInd w:val="0"/>
      </w:pPr>
    </w:p>
    <w:p w:rsidR="0062675B" w:rsidRDefault="0062675B" w:rsidP="0062675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9543, effective June 1, 1998) </w:t>
      </w:r>
    </w:p>
    <w:sectPr w:rsidR="0062675B" w:rsidSect="006267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675B"/>
    <w:rsid w:val="004B2891"/>
    <w:rsid w:val="005C3366"/>
    <w:rsid w:val="0062675B"/>
    <w:rsid w:val="008B6E95"/>
    <w:rsid w:val="00F6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