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A8" w:rsidRDefault="00111CA8" w:rsidP="00111C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CA8" w:rsidRDefault="00111CA8" w:rsidP="00111CA8">
      <w:pPr>
        <w:widowControl w:val="0"/>
        <w:autoSpaceDE w:val="0"/>
        <w:autoSpaceDN w:val="0"/>
        <w:adjustRightInd w:val="0"/>
      </w:pPr>
      <w:r>
        <w:t xml:space="preserve">SOURCE:  Adopted at 6 Ill. Reg. 12437, effective September 30, 1982; emergency amendment at 7 Ill. Reg. 2002, effective February 1, 1983, for a maximum of 150 days; amended at 7 Ill. Reg. 7919, effective June 22, 1983; codified at 8 Ill. Reg. 12186; Part repealed, new Part adopted at 19 Ill. Reg. 14799, effective November 1, 1995. </w:t>
      </w:r>
      <w:r>
        <w:tab/>
      </w:r>
    </w:p>
    <w:sectPr w:rsidR="00111CA8" w:rsidSect="00111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CA8"/>
    <w:rsid w:val="00111CA8"/>
    <w:rsid w:val="003E4EF3"/>
    <w:rsid w:val="005B4E2F"/>
    <w:rsid w:val="005C3366"/>
    <w:rsid w:val="00F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