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2C" w:rsidRDefault="00997F2C" w:rsidP="00997F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7F2C" w:rsidRDefault="00997F2C" w:rsidP="00997F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605.185  Expense Accounts Matrix</w:t>
      </w:r>
      <w:r>
        <w:t xml:space="preserve"> </w:t>
      </w:r>
    </w:p>
    <w:p w:rsidR="00997F2C" w:rsidRDefault="00997F2C" w:rsidP="00997F2C">
      <w:pPr>
        <w:widowControl w:val="0"/>
        <w:autoSpaceDE w:val="0"/>
        <w:autoSpaceDN w:val="0"/>
        <w:adjustRightInd w:val="0"/>
      </w:pPr>
    </w:p>
    <w:p w:rsidR="00997F2C" w:rsidRDefault="00997F2C" w:rsidP="00997F2C">
      <w:pPr>
        <w:widowControl w:val="0"/>
        <w:autoSpaceDE w:val="0"/>
        <w:autoSpaceDN w:val="0"/>
        <w:adjustRightInd w:val="0"/>
      </w:pPr>
      <w:r>
        <w:t xml:space="preserve">Delete the Water Operation and Maintenance Expense Accounts Matrix of the </w:t>
      </w:r>
      <w:proofErr w:type="spellStart"/>
      <w:r>
        <w:t>NARUC</w:t>
      </w:r>
      <w:proofErr w:type="spellEnd"/>
      <w:r>
        <w:t xml:space="preserve"> Uniform System of Accounts and replace it with the material in TABLE B. </w:t>
      </w:r>
    </w:p>
    <w:p w:rsidR="00997F2C" w:rsidRDefault="00997F2C" w:rsidP="00997F2C">
      <w:pPr>
        <w:widowControl w:val="0"/>
        <w:autoSpaceDE w:val="0"/>
        <w:autoSpaceDN w:val="0"/>
        <w:adjustRightInd w:val="0"/>
      </w:pPr>
    </w:p>
    <w:p w:rsidR="00997F2C" w:rsidRDefault="00997F2C" w:rsidP="00997F2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11742, effective July 1, 1998) </w:t>
      </w:r>
    </w:p>
    <w:sectPr w:rsidR="00997F2C" w:rsidSect="00997F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7F2C"/>
    <w:rsid w:val="001145B9"/>
    <w:rsid w:val="005C3366"/>
    <w:rsid w:val="007F7B12"/>
    <w:rsid w:val="00997F2C"/>
    <w:rsid w:val="00F5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