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28" w:rsidRDefault="00091F28" w:rsidP="00091F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1F28" w:rsidRDefault="00091F28" w:rsidP="00091F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712.100  Overview</w:t>
      </w:r>
      <w:r>
        <w:t xml:space="preserve"> </w:t>
      </w:r>
    </w:p>
    <w:p w:rsidR="00091F28" w:rsidRDefault="00091F28" w:rsidP="00091F28">
      <w:pPr>
        <w:widowControl w:val="0"/>
        <w:autoSpaceDE w:val="0"/>
        <w:autoSpaceDN w:val="0"/>
        <w:adjustRightInd w:val="0"/>
      </w:pPr>
    </w:p>
    <w:p w:rsidR="00091F28" w:rsidRDefault="00091F28" w:rsidP="00091F28">
      <w:pPr>
        <w:widowControl w:val="0"/>
        <w:autoSpaceDE w:val="0"/>
        <w:autoSpaceDN w:val="0"/>
        <w:adjustRightInd w:val="0"/>
      </w:pPr>
      <w:r>
        <w:t xml:space="preserve">The methodology presented in this Subpart is used to apportion costs to regulated and </w:t>
      </w:r>
      <w:proofErr w:type="spellStart"/>
      <w:r>
        <w:t>nonregulated</w:t>
      </w:r>
      <w:proofErr w:type="spellEnd"/>
      <w:r>
        <w:t xml:space="preserve"> activities in each local exchange carrier.  The accounts included in the process are those included in 83 Ill Adm. Code 710 ("Part 710"). </w:t>
      </w:r>
    </w:p>
    <w:sectPr w:rsidR="00091F28" w:rsidSect="00091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F28"/>
    <w:rsid w:val="00091F28"/>
    <w:rsid w:val="005C3366"/>
    <w:rsid w:val="00793AAF"/>
    <w:rsid w:val="00BF3B0B"/>
    <w:rsid w:val="00C4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2012-06-21T19:36:00Z</dcterms:modified>
</cp:coreProperties>
</file>