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DD" w:rsidRDefault="00FD11DD" w:rsidP="00FD11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11DD" w:rsidRDefault="00FD11DD" w:rsidP="00FD11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712.5300  Account 5300 Uncollectible Revenue</w:t>
      </w:r>
      <w:r>
        <w:t xml:space="preserve"> </w:t>
      </w:r>
    </w:p>
    <w:p w:rsidR="00FD11DD" w:rsidRDefault="00FD11DD" w:rsidP="00FD11DD">
      <w:pPr>
        <w:widowControl w:val="0"/>
        <w:autoSpaceDE w:val="0"/>
        <w:autoSpaceDN w:val="0"/>
        <w:adjustRightInd w:val="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Regulated cost pool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Regulated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144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proofErr w:type="spellStart"/>
      <w:r>
        <w:t>Nonregulated</w:t>
      </w:r>
      <w:proofErr w:type="spellEnd"/>
      <w:r>
        <w:t xml:space="preserve"> cost pool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 reporting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Directly assigned to </w:t>
      </w:r>
      <w:proofErr w:type="spellStart"/>
      <w:r>
        <w:t>Nonregulated</w:t>
      </w:r>
      <w:proofErr w:type="spellEnd"/>
      <w:r>
        <w:t xml:space="preserve">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assignable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144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Shared cost pool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Cost Pool Apportionment Basis:  Directly reporting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Regulated/</w:t>
      </w:r>
      <w:proofErr w:type="spellStart"/>
      <w:r>
        <w:t>Nonregulated</w:t>
      </w:r>
      <w:proofErr w:type="spellEnd"/>
      <w:r>
        <w:t xml:space="preserve"> Apportionment Basis:  Account transaction analysis </w:t>
      </w:r>
    </w:p>
    <w:p w:rsidR="000765B1" w:rsidRDefault="000765B1" w:rsidP="00FD11DD">
      <w:pPr>
        <w:widowControl w:val="0"/>
        <w:autoSpaceDE w:val="0"/>
        <w:autoSpaceDN w:val="0"/>
        <w:adjustRightInd w:val="0"/>
        <w:ind w:left="2160" w:hanging="720"/>
      </w:pPr>
    </w:p>
    <w:p w:rsidR="00FD11DD" w:rsidRDefault="00FD11DD" w:rsidP="00FD11D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Cost Definition:  Directly attributable </w:t>
      </w:r>
    </w:p>
    <w:sectPr w:rsidR="00FD11DD" w:rsidSect="00FD11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1DD"/>
    <w:rsid w:val="000765B1"/>
    <w:rsid w:val="005C3366"/>
    <w:rsid w:val="007D2437"/>
    <w:rsid w:val="00A84474"/>
    <w:rsid w:val="00B41021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712</vt:lpstr>
    </vt:vector>
  </TitlesOfParts>
  <Company>State of Illinois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712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