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3599A" w:rsidRPr="00935A8C" w:rsidRDefault="0083599A" w:rsidP="0083599A">
      <w:pPr>
        <w:jc w:val="center"/>
      </w:pPr>
      <w:r>
        <w:t>SUBPART B:  ELIGIBILITY OF PROVIDERS AND CARRIERS</w:t>
      </w:r>
    </w:p>
    <w:sectPr w:rsidR="0083599A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507D">
      <w:r>
        <w:separator/>
      </w:r>
    </w:p>
  </w:endnote>
  <w:endnote w:type="continuationSeparator" w:id="0">
    <w:p w:rsidR="00000000" w:rsidRDefault="00CB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507D">
      <w:r>
        <w:separator/>
      </w:r>
    </w:p>
  </w:footnote>
  <w:footnote w:type="continuationSeparator" w:id="0">
    <w:p w:rsidR="00000000" w:rsidRDefault="00CB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75C22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37BC7"/>
    <w:rsid w:val="006402CC"/>
    <w:rsid w:val="006541CA"/>
    <w:rsid w:val="006A2114"/>
    <w:rsid w:val="00776784"/>
    <w:rsid w:val="00780733"/>
    <w:rsid w:val="007D406F"/>
    <w:rsid w:val="008271B1"/>
    <w:rsid w:val="0083599A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B507D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