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02" w:rsidRDefault="00512302" w:rsidP="005123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2302" w:rsidRDefault="00512302" w:rsidP="005123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750.10  Applicability</w:t>
      </w:r>
      <w:r>
        <w:t xml:space="preserve"> </w:t>
      </w:r>
    </w:p>
    <w:p w:rsidR="00512302" w:rsidRDefault="00512302" w:rsidP="00512302">
      <w:pPr>
        <w:widowControl w:val="0"/>
        <w:autoSpaceDE w:val="0"/>
        <w:autoSpaceDN w:val="0"/>
        <w:adjustRightInd w:val="0"/>
      </w:pPr>
    </w:p>
    <w:p w:rsidR="00512302" w:rsidRDefault="00512302" w:rsidP="00512302">
      <w:pPr>
        <w:widowControl w:val="0"/>
        <w:autoSpaceDE w:val="0"/>
        <w:autoSpaceDN w:val="0"/>
        <w:adjustRightInd w:val="0"/>
      </w:pPr>
      <w:r>
        <w:t xml:space="preserve">This Part applies to telecommunications carriers who have or are seeking authority to offer interexchange telecommunications services. </w:t>
      </w:r>
    </w:p>
    <w:sectPr w:rsidR="00512302" w:rsidSect="005123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302"/>
    <w:rsid w:val="00512302"/>
    <w:rsid w:val="005C3366"/>
    <w:rsid w:val="007547AB"/>
    <w:rsid w:val="008E5D88"/>
    <w:rsid w:val="00C5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