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FA" w:rsidRDefault="009E00FA" w:rsidP="009E00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00FA" w:rsidRDefault="009E00FA" w:rsidP="009E00FA">
      <w:pPr>
        <w:widowControl w:val="0"/>
        <w:autoSpaceDE w:val="0"/>
        <w:autoSpaceDN w:val="0"/>
        <w:adjustRightInd w:val="0"/>
      </w:pPr>
      <w:r>
        <w:t xml:space="preserve">SOURCE:  Adopted at 11 Ill. Reg. 11730, effective July 1, 1987; amended at 14 Ill. Reg. 3037, effective February 15, 1990; amended at 14 Ill. Reg. 18756, effective November 15, 1990; amended at 16 Ill. Reg. 6177, effective April 15, 1992; amended at 16 Ill. Reg. 16573, effective November 1, 1992. </w:t>
      </w:r>
      <w:r>
        <w:tab/>
      </w:r>
    </w:p>
    <w:sectPr w:rsidR="009E00FA" w:rsidSect="009E00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00FA"/>
    <w:rsid w:val="00294DE7"/>
    <w:rsid w:val="005C3366"/>
    <w:rsid w:val="006D3143"/>
    <w:rsid w:val="009E00FA"/>
    <w:rsid w:val="00F8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11 Ill</vt:lpstr>
    </vt:vector>
  </TitlesOfParts>
  <Company>State of Illinois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11 Ill</dc:title>
  <dc:subject/>
  <dc:creator>Illinois General Assembly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